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210"/>
        <w:tblW w:w="15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36"/>
        <w:gridCol w:w="1064"/>
        <w:gridCol w:w="980"/>
        <w:gridCol w:w="1200"/>
        <w:gridCol w:w="940"/>
        <w:gridCol w:w="820"/>
        <w:gridCol w:w="960"/>
        <w:gridCol w:w="1480"/>
        <w:gridCol w:w="820"/>
        <w:gridCol w:w="1360"/>
        <w:gridCol w:w="27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2020年阳春市纪委监委公开招聘合同制职员岗位表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招聘对象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学位要求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工资档次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退役军人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ascii="宋体" w:hAnsi="宋体" w:eastAsia="宋体" w:cs="宋体"/>
              </w:rPr>
              <w:t>即1990年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月1日后出生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中共党员，阳春市户籍</w:t>
            </w:r>
          </w:p>
        </w:tc>
        <w:tc>
          <w:tcPr>
            <w:tcW w:w="2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高中学历的人员工资档次定为五级九档（3080元/月），具有普通高校全日制大专学历的人员工资档次定为四级九档（3510元/月），具有普通高校全日制本科学历的人员工资档次定为三级八档（4050元/月），具有全日制研究生学历的人员工资档次定为二级八档（6336元/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ascii="宋体" w:hAnsi="宋体" w:eastAsia="宋体" w:cs="宋体"/>
              </w:rPr>
              <w:t>即1990年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月1日后出生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30周岁以下（</w:t>
            </w:r>
            <w:r>
              <w:rPr>
                <w:rFonts w:hint="eastAsia" w:ascii="宋体" w:hAnsi="宋体" w:eastAsia="宋体" w:cs="宋体"/>
              </w:rPr>
              <w:t>即1990年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月1日后出生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女性看护人员，需要值夜班，要求女性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315E"/>
    <w:rsid w:val="45B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2020-12-01T10:39:00Z</dcterms:created>
  <dc:creator>Akira_Kusano</dc:creator>
  <cp:lastModifiedBy>Akira_Kusano</cp:lastModifiedBy>
  <dcterms:modified xsi:type="dcterms:W3CDTF">2020-12-01T10:40:34Z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