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default" w:ascii="Times New Roman" w:hAnsi="Times New Roman" w:eastAsia="方正小标宋简体" w:cs="Times New Roman"/>
          <w:sz w:val="36"/>
          <w:szCs w:val="36"/>
        </w:rPr>
      </w:pPr>
      <w:r>
        <w:rPr>
          <w:rFonts w:hint="default" w:ascii="方正小标宋简体" w:eastAsia="方正小标宋简体"/>
          <w:sz w:val="36"/>
          <w:szCs w:val="36"/>
          <w:lang w:val="en-US"/>
        </w:rPr>
        <w:t>2020</w:t>
      </w:r>
      <w:r>
        <w:rPr>
          <w:rFonts w:hint="eastAsia" w:ascii="方正小标宋简体" w:eastAsia="方正小标宋简体"/>
          <w:sz w:val="36"/>
          <w:szCs w:val="36"/>
        </w:rPr>
        <w:t>年阳江市及我市十件民生实事项目工作推进表</w:t>
      </w:r>
      <w:r>
        <w:rPr>
          <w:rFonts w:hint="default" w:ascii="Times New Roman" w:hAnsi="Times New Roman" w:eastAsia="方正小标宋简体" w:cs="Times New Roman"/>
          <w:sz w:val="36"/>
          <w:szCs w:val="36"/>
        </w:rPr>
        <w:t>(</w:t>
      </w:r>
      <w:r>
        <w:rPr>
          <w:rFonts w:hint="eastAsia" w:ascii="Times New Roman" w:hAnsi="Times New Roman" w:eastAsia="方正小标宋简体" w:cs="Times New Roman"/>
          <w:sz w:val="36"/>
          <w:szCs w:val="36"/>
          <w:lang w:val="en-US" w:eastAsia="zh-CN"/>
        </w:rPr>
        <w:t>2020年</w:t>
      </w:r>
      <w:r>
        <w:rPr>
          <w:rFonts w:hint="default" w:ascii="Times New Roman" w:hAnsi="Times New Roman" w:eastAsia="方正小标宋简体" w:cs="Times New Roman"/>
          <w:sz w:val="36"/>
          <w:szCs w:val="36"/>
          <w:lang w:val="en-US" w:eastAsia="zh-CN"/>
        </w:rPr>
        <w:t>1</w:t>
      </w:r>
      <w:r>
        <w:rPr>
          <w:rFonts w:hint="eastAsia" w:ascii="仿宋_GB2312" w:hAnsi="仿宋_GB2312" w:eastAsia="仿宋_GB2312" w:cs="仿宋_GB2312"/>
          <w:sz w:val="36"/>
          <w:szCs w:val="36"/>
          <w:lang w:val="en-US" w:eastAsia="zh-CN"/>
        </w:rPr>
        <w:t>—</w:t>
      </w:r>
      <w:r>
        <w:rPr>
          <w:rFonts w:hint="eastAsia" w:ascii="方正小标宋简体" w:eastAsia="方正小标宋简体"/>
          <w:sz w:val="36"/>
          <w:szCs w:val="36"/>
          <w:lang w:val="en-US" w:eastAsia="zh-CN"/>
        </w:rPr>
        <w:t>12</w:t>
      </w:r>
      <w:r>
        <w:rPr>
          <w:rFonts w:hint="default" w:ascii="Times New Roman" w:hAnsi="Times New Roman" w:eastAsia="方正小标宋简体" w:cs="Times New Roman"/>
          <w:sz w:val="36"/>
          <w:szCs w:val="36"/>
          <w:lang w:val="en-US" w:eastAsia="zh-CN"/>
        </w:rPr>
        <w:t>月</w:t>
      </w:r>
      <w:r>
        <w:rPr>
          <w:rFonts w:hint="default" w:ascii="Times New Roman" w:hAnsi="Times New Roman" w:eastAsia="方正小标宋简体" w:cs="Times New Roman"/>
          <w:sz w:val="36"/>
          <w:szCs w:val="36"/>
        </w:rPr>
        <w:t>)</w:t>
      </w:r>
    </w:p>
    <w:p>
      <w:pPr>
        <w:spacing w:line="0" w:lineRule="atLeast"/>
        <w:jc w:val="center"/>
        <w:rPr>
          <w:rFonts w:hint="eastAsia" w:ascii="Times New Roman" w:hAnsi="Times New Roman" w:eastAsia="方正小标宋简体" w:cs="Times New Roman"/>
          <w:sz w:val="32"/>
          <w:szCs w:val="32"/>
        </w:rPr>
      </w:pPr>
    </w:p>
    <w:p>
      <w:pPr>
        <w:spacing w:line="0" w:lineRule="atLeast"/>
        <w:jc w:val="right"/>
        <w:rPr>
          <w:rFonts w:ascii="楷体_GB2312" w:eastAsia="楷体_GB2312"/>
          <w:sz w:val="32"/>
          <w:szCs w:val="32"/>
        </w:rPr>
      </w:pPr>
      <w:r>
        <w:rPr>
          <w:rFonts w:hint="eastAsia" w:ascii="仿宋_GB2312"/>
          <w:sz w:val="32"/>
          <w:szCs w:val="32"/>
        </w:rPr>
        <w:t>中共阳春市委督查室、阳春市人民政府督查室编</w:t>
      </w:r>
      <w:bookmarkStart w:id="0" w:name="_GoBack"/>
      <w:bookmarkEnd w:id="0"/>
    </w:p>
    <w:tbl>
      <w:tblPr>
        <w:tblStyle w:val="5"/>
        <w:tblW w:w="13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4100"/>
        <w:gridCol w:w="1617"/>
        <w:gridCol w:w="1916"/>
        <w:gridCol w:w="274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6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1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6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9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274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9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63" w:type="dxa"/>
            <w:vMerge w:val="continue"/>
            <w:tcBorders>
              <w:left w:val="single" w:color="auto" w:sz="4" w:space="0"/>
              <w:right w:val="single" w:color="auto" w:sz="4" w:space="0"/>
            </w:tcBorders>
            <w:noWrap w:val="0"/>
            <w:vAlign w:val="center"/>
          </w:tcPr>
          <w:p>
            <w:pPr>
              <w:spacing w:line="0" w:lineRule="atLeast"/>
              <w:rPr>
                <w:sz w:val="24"/>
              </w:rPr>
            </w:pPr>
          </w:p>
        </w:tc>
        <w:tc>
          <w:tcPr>
            <w:tcW w:w="4100" w:type="dxa"/>
            <w:vMerge w:val="continue"/>
            <w:tcBorders>
              <w:left w:val="single" w:color="auto" w:sz="4" w:space="0"/>
              <w:right w:val="single" w:color="auto" w:sz="4" w:space="0"/>
            </w:tcBorders>
            <w:noWrap w:val="0"/>
            <w:vAlign w:val="center"/>
          </w:tcPr>
          <w:p>
            <w:pPr>
              <w:spacing w:line="0" w:lineRule="atLeast"/>
              <w:rPr>
                <w:sz w:val="24"/>
              </w:rPr>
            </w:pPr>
          </w:p>
        </w:tc>
        <w:tc>
          <w:tcPr>
            <w:tcW w:w="16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9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746" w:type="dxa"/>
            <w:vMerge w:val="continue"/>
            <w:tcBorders>
              <w:left w:val="single" w:color="auto" w:sz="4" w:space="0"/>
              <w:right w:val="single" w:color="auto" w:sz="4" w:space="0"/>
            </w:tcBorders>
            <w:noWrap w:val="0"/>
            <w:vAlign w:val="center"/>
          </w:tcPr>
          <w:p>
            <w:pPr>
              <w:spacing w:line="0" w:lineRule="atLeast"/>
              <w:rPr>
                <w:sz w:val="24"/>
              </w:rPr>
            </w:pPr>
          </w:p>
        </w:tc>
        <w:tc>
          <w:tcPr>
            <w:tcW w:w="90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2463"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促进就业创业</w:t>
            </w:r>
          </w:p>
        </w:tc>
        <w:tc>
          <w:tcPr>
            <w:tcW w:w="4100"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w:t>
            </w:r>
            <w:r>
              <w:rPr>
                <w:rFonts w:hint="eastAsia" w:eastAsia="仿宋_GB2312"/>
                <w:sz w:val="24"/>
              </w:rPr>
              <w:t>“</w:t>
            </w:r>
            <w:r>
              <w:rPr>
                <w:rFonts w:hAnsi="仿宋_GB2312" w:eastAsia="仿宋_GB2312"/>
                <w:sz w:val="24"/>
              </w:rPr>
              <w:t>粤菜师傅</w:t>
            </w:r>
            <w:r>
              <w:rPr>
                <w:rFonts w:hint="eastAsia" w:eastAsia="仿宋_GB2312"/>
                <w:sz w:val="24"/>
              </w:rPr>
              <w:t>”</w:t>
            </w:r>
            <w:r>
              <w:rPr>
                <w:rFonts w:hAnsi="仿宋_GB2312" w:eastAsia="仿宋_GB2312"/>
                <w:sz w:val="24"/>
              </w:rPr>
              <w:t>、</w:t>
            </w:r>
            <w:r>
              <w:rPr>
                <w:rFonts w:hint="eastAsia" w:eastAsia="仿宋_GB2312"/>
                <w:sz w:val="24"/>
              </w:rPr>
              <w:t>“</w:t>
            </w:r>
            <w:r>
              <w:rPr>
                <w:rFonts w:hAnsi="仿宋_GB2312" w:eastAsia="仿宋_GB2312"/>
                <w:sz w:val="24"/>
              </w:rPr>
              <w:t>南粤家政</w:t>
            </w:r>
            <w:r>
              <w:rPr>
                <w:rFonts w:hint="eastAsia" w:eastAsia="仿宋_GB2312"/>
                <w:sz w:val="24"/>
              </w:rPr>
              <w:t>”</w:t>
            </w:r>
            <w:r>
              <w:rPr>
                <w:rFonts w:hAnsi="仿宋_GB2312" w:eastAsia="仿宋_GB2312"/>
                <w:sz w:val="24"/>
              </w:rPr>
              <w:t>工程，组织</w:t>
            </w:r>
            <w:r>
              <w:rPr>
                <w:rFonts w:eastAsia="仿宋_GB2312"/>
                <w:sz w:val="24"/>
              </w:rPr>
              <w:t>800</w:t>
            </w:r>
            <w:r>
              <w:rPr>
                <w:rFonts w:hAnsi="仿宋_GB2312" w:eastAsia="仿宋_GB2312"/>
                <w:sz w:val="24"/>
              </w:rPr>
              <w:t>人次参加相关工种职业技能培训。</w:t>
            </w:r>
            <w:r>
              <w:rPr>
                <w:rFonts w:hint="eastAsia"/>
                <w:b/>
                <w:sz w:val="24"/>
              </w:rPr>
              <w:t xml:space="preserve"> </w:t>
            </w:r>
            <w:r>
              <w:rPr>
                <w:rFonts w:hint="default" w:ascii="Times New Roman" w:hAnsi="Times New Roman" w:cs="Times New Roman"/>
                <w:sz w:val="24"/>
              </w:rPr>
              <w:t>●</w:t>
            </w:r>
            <w:r>
              <w:rPr>
                <w:rFonts w:hint="eastAsia"/>
                <w:sz w:val="24"/>
              </w:rPr>
              <w:t>▲</w:t>
            </w:r>
          </w:p>
        </w:tc>
        <w:tc>
          <w:tcPr>
            <w:tcW w:w="1617" w:type="dxa"/>
            <w:tcBorders>
              <w:left w:val="single" w:color="auto" w:sz="4" w:space="0"/>
              <w:right w:val="single" w:color="auto" w:sz="4" w:space="0"/>
            </w:tcBorders>
            <w:noWrap w:val="0"/>
            <w:vAlign w:val="center"/>
          </w:tcPr>
          <w:p>
            <w:pPr>
              <w:rPr>
                <w:sz w:val="24"/>
              </w:rPr>
            </w:pPr>
            <w:r>
              <w:rPr>
                <w:rFonts w:hAnsi="仿宋_GB2312" w:eastAsia="仿宋_GB2312"/>
                <w:sz w:val="24"/>
              </w:rPr>
              <w:t>市人社局</w:t>
            </w:r>
          </w:p>
        </w:tc>
        <w:tc>
          <w:tcPr>
            <w:tcW w:w="1916" w:type="dxa"/>
            <w:tcBorders>
              <w:left w:val="single" w:color="auto" w:sz="4" w:space="0"/>
              <w:right w:val="single" w:color="auto" w:sz="4" w:space="0"/>
            </w:tcBorders>
            <w:noWrap w:val="0"/>
            <w:vAlign w:val="center"/>
          </w:tcPr>
          <w:p>
            <w:pPr>
              <w:jc w:val="center"/>
              <w:rPr>
                <w:rFonts w:hint="eastAsia" w:eastAsia="仿宋_GB2312"/>
                <w:sz w:val="24"/>
                <w:lang w:val="en-US" w:eastAsia="zh-CN"/>
              </w:rPr>
            </w:pPr>
            <w:r>
              <w:rPr>
                <w:rFonts w:hint="eastAsia"/>
                <w:sz w:val="24"/>
                <w:lang w:val="en-US" w:eastAsia="zh-CN"/>
              </w:rPr>
              <w:t>何梅</w:t>
            </w:r>
          </w:p>
        </w:tc>
        <w:tc>
          <w:tcPr>
            <w:tcW w:w="2746" w:type="dxa"/>
            <w:tcBorders>
              <w:left w:val="single" w:color="auto" w:sz="4" w:space="0"/>
              <w:right w:val="single" w:color="auto" w:sz="4" w:space="0"/>
            </w:tcBorders>
            <w:noWrap w:val="0"/>
            <w:vAlign w:val="center"/>
          </w:tcPr>
          <w:p>
            <w:pPr>
              <w:spacing w:line="0" w:lineRule="atLeast"/>
              <w:jc w:val="left"/>
              <w:rPr>
                <w:sz w:val="24"/>
              </w:rPr>
            </w:pPr>
            <w:r>
              <w:rPr>
                <w:rFonts w:hint="eastAsia"/>
                <w:sz w:val="24"/>
                <w:highlight w:val="none"/>
                <w:lang w:val="en-US" w:eastAsia="zh-CN"/>
              </w:rPr>
              <w:t>1至12月</w:t>
            </w:r>
            <w:r>
              <w:rPr>
                <w:rFonts w:hint="eastAsia"/>
                <w:sz w:val="24"/>
                <w:highlight w:val="none"/>
              </w:rPr>
              <w:t>共组织</w:t>
            </w:r>
            <w:r>
              <w:rPr>
                <w:rFonts w:hint="eastAsia"/>
                <w:sz w:val="24"/>
                <w:highlight w:val="none"/>
                <w:lang w:val="en-US" w:eastAsia="zh-CN"/>
              </w:rPr>
              <w:t>800</w:t>
            </w:r>
            <w:r>
              <w:rPr>
                <w:rFonts w:hint="eastAsia"/>
                <w:sz w:val="24"/>
                <w:highlight w:val="none"/>
              </w:rPr>
              <w:t>人参加</w:t>
            </w:r>
            <w:r>
              <w:rPr>
                <w:rFonts w:hint="eastAsia" w:eastAsia="仿宋_GB2312"/>
                <w:sz w:val="24"/>
                <w:highlight w:val="none"/>
              </w:rPr>
              <w:t>“</w:t>
            </w:r>
            <w:r>
              <w:rPr>
                <w:rFonts w:hAnsi="仿宋_GB2312" w:eastAsia="仿宋_GB2312"/>
                <w:sz w:val="24"/>
                <w:highlight w:val="none"/>
              </w:rPr>
              <w:t>粤菜师傅</w:t>
            </w:r>
            <w:r>
              <w:rPr>
                <w:rFonts w:hint="eastAsia" w:eastAsia="仿宋_GB2312"/>
                <w:sz w:val="24"/>
                <w:highlight w:val="none"/>
              </w:rPr>
              <w:t>”</w:t>
            </w:r>
            <w:r>
              <w:rPr>
                <w:rFonts w:hAnsi="仿宋_GB2312" w:eastAsia="仿宋_GB2312"/>
                <w:sz w:val="24"/>
                <w:highlight w:val="none"/>
              </w:rPr>
              <w:t>、</w:t>
            </w:r>
            <w:r>
              <w:rPr>
                <w:rFonts w:hint="eastAsia" w:eastAsia="仿宋_GB2312"/>
                <w:sz w:val="24"/>
                <w:highlight w:val="none"/>
              </w:rPr>
              <w:t>“</w:t>
            </w:r>
            <w:r>
              <w:rPr>
                <w:rFonts w:hAnsi="仿宋_GB2312" w:eastAsia="仿宋_GB2312"/>
                <w:sz w:val="24"/>
                <w:highlight w:val="none"/>
              </w:rPr>
              <w:t>南粤家政</w:t>
            </w:r>
            <w:r>
              <w:rPr>
                <w:rFonts w:hint="eastAsia" w:eastAsia="仿宋_GB2312"/>
                <w:sz w:val="24"/>
                <w:highlight w:val="none"/>
              </w:rPr>
              <w:t>”</w:t>
            </w:r>
            <w:r>
              <w:rPr>
                <w:rFonts w:hAnsi="仿宋_GB2312" w:eastAsia="仿宋_GB2312"/>
                <w:sz w:val="24"/>
                <w:highlight w:val="none"/>
              </w:rPr>
              <w:t>相关工种职业技能培训。</w:t>
            </w:r>
            <w:r>
              <w:rPr>
                <w:rFonts w:hint="eastAsia"/>
                <w:b/>
                <w:sz w:val="24"/>
                <w:highlight w:val="none"/>
              </w:rPr>
              <w:t xml:space="preserve"> </w:t>
            </w:r>
          </w:p>
        </w:tc>
        <w:tc>
          <w:tcPr>
            <w:tcW w:w="900" w:type="dxa"/>
            <w:tcBorders>
              <w:left w:val="single" w:color="auto" w:sz="4" w:space="0"/>
              <w:right w:val="single" w:color="auto" w:sz="4" w:space="0"/>
            </w:tcBorders>
            <w:noWrap w:val="0"/>
            <w:vAlign w:val="center"/>
          </w:tcPr>
          <w:p>
            <w:pPr>
              <w:jc w:val="center"/>
              <w:rPr>
                <w:spacing w:val="-20"/>
                <w:sz w:val="24"/>
              </w:rPr>
            </w:pPr>
            <w:r>
              <w:rPr>
                <w:rFonts w:hint="eastAsia"/>
                <w:spacing w:val="0"/>
                <w:sz w:val="24"/>
                <w:lang w:val="en-US" w:eastAsia="zh-CN"/>
              </w:rPr>
              <w:t>100</w:t>
            </w:r>
            <w:r>
              <w:rPr>
                <w:rFonts w:hint="eastAsia"/>
                <w:spacing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63"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提高城乡居民救助补助标准</w:t>
            </w:r>
          </w:p>
        </w:tc>
        <w:tc>
          <w:tcPr>
            <w:tcW w:w="4100" w:type="dxa"/>
            <w:tcBorders>
              <w:left w:val="single" w:color="auto" w:sz="4" w:space="0"/>
              <w:right w:val="single" w:color="auto" w:sz="4" w:space="0"/>
            </w:tcBorders>
            <w:noWrap w:val="0"/>
            <w:vAlign w:val="center"/>
          </w:tcPr>
          <w:p>
            <w:pPr>
              <w:spacing w:line="0" w:lineRule="atLeast"/>
              <w:jc w:val="left"/>
              <w:rPr>
                <w:sz w:val="24"/>
              </w:rPr>
            </w:pPr>
            <w:r>
              <w:rPr>
                <w:rFonts w:hAnsi="仿宋_GB2312" w:eastAsia="仿宋_GB2312"/>
                <w:sz w:val="24"/>
              </w:rPr>
              <w:t>城镇、农村低保平均补差水平每人每月分别提高到不低于</w:t>
            </w:r>
            <w:r>
              <w:rPr>
                <w:rFonts w:eastAsia="仿宋_GB2312"/>
                <w:sz w:val="24"/>
              </w:rPr>
              <w:t>621</w:t>
            </w:r>
            <w:r>
              <w:rPr>
                <w:rFonts w:hAnsi="仿宋_GB2312" w:eastAsia="仿宋_GB2312"/>
                <w:sz w:val="24"/>
              </w:rPr>
              <w:t>元和</w:t>
            </w:r>
            <w:r>
              <w:rPr>
                <w:rFonts w:eastAsia="仿宋_GB2312"/>
                <w:sz w:val="24"/>
              </w:rPr>
              <w:t>288</w:t>
            </w:r>
            <w:r>
              <w:rPr>
                <w:rFonts w:hAnsi="仿宋_GB2312" w:eastAsia="仿宋_GB2312"/>
                <w:sz w:val="24"/>
              </w:rPr>
              <w:t>元，并实现应保尽保。</w:t>
            </w:r>
            <w:r>
              <w:rPr>
                <w:rFonts w:hint="default" w:ascii="Times New Roman" w:hAnsi="Times New Roman" w:cs="Times New Roman"/>
                <w:sz w:val="24"/>
              </w:rPr>
              <w:t>●</w:t>
            </w:r>
            <w:r>
              <w:rPr>
                <w:rFonts w:hint="eastAsia"/>
                <w:sz w:val="24"/>
              </w:rPr>
              <w:t>▲</w:t>
            </w:r>
          </w:p>
        </w:tc>
        <w:tc>
          <w:tcPr>
            <w:tcW w:w="1617" w:type="dxa"/>
            <w:tcBorders>
              <w:left w:val="single" w:color="auto" w:sz="4" w:space="0"/>
              <w:right w:val="single" w:color="auto" w:sz="4" w:space="0"/>
            </w:tcBorders>
            <w:noWrap w:val="0"/>
            <w:vAlign w:val="center"/>
          </w:tcPr>
          <w:p>
            <w:pPr>
              <w:rPr>
                <w:sz w:val="24"/>
              </w:rPr>
            </w:pPr>
            <w:r>
              <w:rPr>
                <w:rFonts w:hAnsi="仿宋_GB2312" w:eastAsia="仿宋_GB2312"/>
                <w:spacing w:val="-8"/>
                <w:sz w:val="24"/>
              </w:rPr>
              <w:t>市民政局</w:t>
            </w:r>
          </w:p>
        </w:tc>
        <w:tc>
          <w:tcPr>
            <w:tcW w:w="1916" w:type="dxa"/>
            <w:tcBorders>
              <w:left w:val="single" w:color="auto" w:sz="4" w:space="0"/>
              <w:right w:val="single" w:color="auto" w:sz="4" w:space="0"/>
            </w:tcBorders>
            <w:noWrap w:val="0"/>
            <w:vAlign w:val="center"/>
          </w:tcPr>
          <w:p>
            <w:pPr>
              <w:jc w:val="center"/>
              <w:rPr>
                <w:rFonts w:hint="eastAsia" w:eastAsia="仿宋_GB2312"/>
                <w:sz w:val="24"/>
                <w:lang w:eastAsia="zh-CN"/>
              </w:rPr>
            </w:pPr>
            <w:r>
              <w:rPr>
                <w:rFonts w:hint="eastAsia"/>
                <w:sz w:val="24"/>
                <w:lang w:eastAsia="zh-CN"/>
              </w:rPr>
              <w:t>陈金</w:t>
            </w:r>
          </w:p>
        </w:tc>
        <w:tc>
          <w:tcPr>
            <w:tcW w:w="2746" w:type="dxa"/>
            <w:tcBorders>
              <w:left w:val="single" w:color="auto" w:sz="4" w:space="0"/>
              <w:right w:val="single" w:color="auto" w:sz="4" w:space="0"/>
            </w:tcBorders>
            <w:noWrap w:val="0"/>
            <w:vAlign w:val="center"/>
          </w:tcPr>
          <w:p>
            <w:pPr>
              <w:spacing w:line="0" w:lineRule="atLeast"/>
              <w:rPr>
                <w:rFonts w:hint="eastAsia"/>
                <w:sz w:val="24"/>
              </w:rPr>
            </w:pPr>
            <w:r>
              <w:rPr>
                <w:rFonts w:hint="eastAsia"/>
                <w:sz w:val="24"/>
              </w:rPr>
              <w:t>我市城镇、农村低保平均水平每人每月分别为625元和</w:t>
            </w:r>
            <w:r>
              <w:rPr>
                <w:rFonts w:hint="eastAsia"/>
                <w:sz w:val="24"/>
                <w:lang w:val="en-US" w:eastAsia="zh-CN"/>
              </w:rPr>
              <w:t>340</w:t>
            </w:r>
            <w:r>
              <w:rPr>
                <w:rFonts w:hint="eastAsia"/>
                <w:sz w:val="24"/>
              </w:rPr>
              <w:t>元</w:t>
            </w:r>
            <w:r>
              <w:rPr>
                <w:rFonts w:hint="eastAsia"/>
                <w:sz w:val="24"/>
                <w:lang w:val="en-US" w:eastAsia="zh-CN"/>
              </w:rPr>
              <w:t>，</w:t>
            </w:r>
            <w:r>
              <w:rPr>
                <w:rFonts w:hint="eastAsia"/>
                <w:sz w:val="24"/>
              </w:rPr>
              <w:t>1</w:t>
            </w:r>
            <w:r>
              <w:rPr>
                <w:rFonts w:hint="eastAsia"/>
                <w:sz w:val="24"/>
                <w:lang w:eastAsia="zh-CN"/>
              </w:rPr>
              <w:t>至</w:t>
            </w:r>
            <w:r>
              <w:rPr>
                <w:rFonts w:hint="eastAsia"/>
                <w:sz w:val="24"/>
                <w:lang w:val="en-US" w:eastAsia="zh-CN"/>
              </w:rPr>
              <w:t>12</w:t>
            </w:r>
            <w:r>
              <w:rPr>
                <w:rFonts w:hint="eastAsia"/>
                <w:sz w:val="24"/>
              </w:rPr>
              <w:t>月</w:t>
            </w:r>
            <w:r>
              <w:rPr>
                <w:rFonts w:hint="eastAsia"/>
                <w:sz w:val="24"/>
                <w:lang w:eastAsia="zh-CN"/>
              </w:rPr>
              <w:t>向</w:t>
            </w:r>
            <w:r>
              <w:rPr>
                <w:rFonts w:hint="eastAsia"/>
                <w:sz w:val="24"/>
              </w:rPr>
              <w:t>低保对象</w:t>
            </w:r>
            <w:r>
              <w:rPr>
                <w:rFonts w:hint="eastAsia"/>
                <w:sz w:val="24"/>
                <w:lang w:val="en-US" w:eastAsia="zh-CN"/>
              </w:rPr>
              <w:t>13194</w:t>
            </w:r>
            <w:r>
              <w:rPr>
                <w:rFonts w:hint="eastAsia"/>
                <w:sz w:val="24"/>
              </w:rPr>
              <w:t>户</w:t>
            </w:r>
            <w:r>
              <w:rPr>
                <w:rFonts w:hint="eastAsia"/>
                <w:sz w:val="24"/>
                <w:lang w:val="en-US" w:eastAsia="zh-CN"/>
              </w:rPr>
              <w:t>29318</w:t>
            </w:r>
            <w:r>
              <w:rPr>
                <w:rFonts w:hint="eastAsia"/>
                <w:sz w:val="24"/>
              </w:rPr>
              <w:t>人发放低保救助资金共</w:t>
            </w:r>
            <w:r>
              <w:rPr>
                <w:rFonts w:hint="eastAsia"/>
                <w:sz w:val="24"/>
                <w:lang w:val="en-US" w:eastAsia="zh-CN"/>
              </w:rPr>
              <w:t>12742.51</w:t>
            </w:r>
            <w:r>
              <w:rPr>
                <w:rFonts w:hint="eastAsia"/>
                <w:sz w:val="24"/>
              </w:rPr>
              <w:t>万元。</w:t>
            </w:r>
          </w:p>
        </w:tc>
        <w:tc>
          <w:tcPr>
            <w:tcW w:w="900" w:type="dxa"/>
            <w:tcBorders>
              <w:left w:val="single" w:color="auto" w:sz="4" w:space="0"/>
              <w:right w:val="single" w:color="auto" w:sz="4" w:space="0"/>
            </w:tcBorders>
            <w:noWrap w:val="0"/>
            <w:vAlign w:val="center"/>
          </w:tcPr>
          <w:p>
            <w:pPr>
              <w:jc w:val="center"/>
              <w:rPr>
                <w:rFonts w:hint="default" w:eastAsia="仿宋_GB2312"/>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3216"/>
        <w:gridCol w:w="1817"/>
        <w:gridCol w:w="1483"/>
        <w:gridCol w:w="3676"/>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9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67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88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94" w:type="dxa"/>
            <w:vMerge w:val="continue"/>
            <w:tcBorders>
              <w:left w:val="single" w:color="auto" w:sz="4" w:space="0"/>
              <w:right w:val="single" w:color="auto" w:sz="4" w:space="0"/>
            </w:tcBorders>
            <w:noWrap w:val="0"/>
            <w:vAlign w:val="center"/>
          </w:tcPr>
          <w:p>
            <w:pPr>
              <w:spacing w:line="0" w:lineRule="atLeast"/>
              <w:rPr>
                <w:sz w:val="24"/>
              </w:rPr>
            </w:pPr>
          </w:p>
        </w:tc>
        <w:tc>
          <w:tcPr>
            <w:tcW w:w="3216" w:type="dxa"/>
            <w:vMerge w:val="continue"/>
            <w:tcBorders>
              <w:left w:val="single" w:color="auto" w:sz="4" w:space="0"/>
              <w:right w:val="single" w:color="auto" w:sz="4" w:space="0"/>
            </w:tcBorders>
            <w:noWrap w:val="0"/>
            <w:vAlign w:val="center"/>
          </w:tcPr>
          <w:p>
            <w:pPr>
              <w:spacing w:line="0" w:lineRule="atLeast"/>
              <w:rPr>
                <w:sz w:val="24"/>
              </w:rPr>
            </w:pPr>
          </w:p>
        </w:tc>
        <w:tc>
          <w:tcPr>
            <w:tcW w:w="18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676" w:type="dxa"/>
            <w:vMerge w:val="continue"/>
            <w:tcBorders>
              <w:left w:val="single" w:color="auto" w:sz="4" w:space="0"/>
              <w:right w:val="single" w:color="auto" w:sz="4" w:space="0"/>
            </w:tcBorders>
            <w:noWrap w:val="0"/>
            <w:vAlign w:val="center"/>
          </w:tcPr>
          <w:p>
            <w:pPr>
              <w:spacing w:line="0" w:lineRule="atLeast"/>
              <w:rPr>
                <w:sz w:val="24"/>
              </w:rPr>
            </w:pPr>
          </w:p>
        </w:tc>
        <w:tc>
          <w:tcPr>
            <w:tcW w:w="88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2394"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提高城乡居民救助补助标</w:t>
            </w:r>
            <w:r>
              <w:rPr>
                <w:rFonts w:hint="eastAsia" w:hAnsi="仿宋_GB2312"/>
                <w:sz w:val="24"/>
                <w:lang w:val="en-US" w:eastAsia="zh-CN"/>
              </w:rPr>
              <w:t xml:space="preserve"> </w:t>
            </w:r>
            <w:r>
              <w:rPr>
                <w:rFonts w:hAnsi="仿宋_GB2312" w:eastAsia="仿宋_GB2312"/>
                <w:sz w:val="24"/>
              </w:rPr>
              <w:t>准</w:t>
            </w:r>
          </w:p>
        </w:tc>
        <w:tc>
          <w:tcPr>
            <w:tcW w:w="3216"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特困人员基本生活标准不低于当地城乡最低生活保障标准的</w:t>
            </w:r>
            <w:r>
              <w:rPr>
                <w:rFonts w:eastAsia="仿宋_GB2312"/>
                <w:sz w:val="24"/>
              </w:rPr>
              <w:t>1.6</w:t>
            </w:r>
            <w:r>
              <w:rPr>
                <w:rFonts w:hAnsi="仿宋_GB2312" w:eastAsia="仿宋_GB2312"/>
                <w:sz w:val="24"/>
              </w:rPr>
              <w:t>倍，并实现应保尽保。</w:t>
            </w:r>
            <w:r>
              <w:rPr>
                <w:rFonts w:hint="default" w:ascii="Times New Roman" w:hAnsi="Times New Roman" w:cs="Times New Roman"/>
                <w:sz w:val="24"/>
              </w:rPr>
              <w:t>●</w:t>
            </w:r>
            <w:r>
              <w:rPr>
                <w:rFonts w:hint="eastAsia"/>
                <w:sz w:val="24"/>
              </w:rPr>
              <w:t>▲</w:t>
            </w:r>
          </w:p>
        </w:tc>
        <w:tc>
          <w:tcPr>
            <w:tcW w:w="181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1483"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676"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我市城镇、农村特困人员基本生活标准分别为1255元/人/月、888元/人/月。截止</w:t>
            </w:r>
            <w:r>
              <w:rPr>
                <w:rFonts w:hint="eastAsia"/>
                <w:sz w:val="24"/>
                <w:lang w:val="en-US" w:eastAsia="zh-CN"/>
              </w:rPr>
              <w:t>12月底，</w:t>
            </w:r>
            <w:r>
              <w:rPr>
                <w:rFonts w:hint="eastAsia"/>
                <w:sz w:val="24"/>
              </w:rPr>
              <w:t>全市纳入特困人员救助供养</w:t>
            </w:r>
            <w:r>
              <w:rPr>
                <w:rFonts w:hint="eastAsia"/>
                <w:sz w:val="24"/>
                <w:lang w:val="en-US" w:eastAsia="zh-CN"/>
              </w:rPr>
              <w:t>5007</w:t>
            </w:r>
            <w:r>
              <w:rPr>
                <w:rFonts w:hint="eastAsia"/>
                <w:sz w:val="24"/>
              </w:rPr>
              <w:t>人，</w:t>
            </w:r>
            <w:r>
              <w:rPr>
                <w:rFonts w:hint="eastAsia"/>
                <w:sz w:val="24"/>
                <w:lang w:val="en-US" w:eastAsia="zh-CN"/>
              </w:rPr>
              <w:t>1至12月</w:t>
            </w:r>
            <w:r>
              <w:rPr>
                <w:rFonts w:hint="eastAsia"/>
                <w:sz w:val="24"/>
              </w:rPr>
              <w:t>共发放特困人员供养资金</w:t>
            </w:r>
            <w:r>
              <w:rPr>
                <w:rFonts w:hint="eastAsia"/>
                <w:sz w:val="24"/>
                <w:lang w:val="en-US" w:eastAsia="zh-CN"/>
              </w:rPr>
              <w:t>5483.21</w:t>
            </w:r>
            <w:r>
              <w:rPr>
                <w:rFonts w:hint="eastAsia"/>
                <w:sz w:val="24"/>
              </w:rPr>
              <w:t>万元。</w:t>
            </w:r>
          </w:p>
        </w:tc>
        <w:tc>
          <w:tcPr>
            <w:tcW w:w="885"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2394"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16"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全面落实特困人员供养制度，积极引导失能、半失能等生活不能自理的特困人员集中供养，巩固工作成果，保障全市生活不能自理的特困人员基本照料护理全覆盖。</w:t>
            </w:r>
            <w:r>
              <w:rPr>
                <w:rFonts w:hint="default" w:ascii="Times New Roman" w:hAnsi="Times New Roman" w:cs="Times New Roman"/>
                <w:sz w:val="24"/>
              </w:rPr>
              <w:t>●</w:t>
            </w:r>
            <w:r>
              <w:rPr>
                <w:rFonts w:hint="eastAsia"/>
                <w:sz w:val="24"/>
              </w:rPr>
              <w:t>▲</w:t>
            </w:r>
          </w:p>
        </w:tc>
        <w:tc>
          <w:tcPr>
            <w:tcW w:w="1817" w:type="dxa"/>
            <w:tcBorders>
              <w:left w:val="single" w:color="auto" w:sz="4" w:space="0"/>
              <w:right w:val="single" w:color="auto" w:sz="4" w:space="0"/>
            </w:tcBorders>
            <w:noWrap w:val="0"/>
            <w:vAlign w:val="center"/>
          </w:tcPr>
          <w:p>
            <w:pPr>
              <w:spacing w:line="0" w:lineRule="atLeast"/>
              <w:jc w:val="center"/>
              <w:rPr>
                <w:rFonts w:hAnsi="仿宋_GB2312" w:eastAsia="仿宋_GB2312"/>
                <w:spacing w:val="-8"/>
                <w:sz w:val="24"/>
              </w:rPr>
            </w:pPr>
            <w:r>
              <w:rPr>
                <w:rFonts w:hAnsi="仿宋_GB2312" w:eastAsia="仿宋_GB2312"/>
                <w:spacing w:val="-8"/>
                <w:sz w:val="24"/>
              </w:rPr>
              <w:t>市民政局</w:t>
            </w:r>
          </w:p>
        </w:tc>
        <w:tc>
          <w:tcPr>
            <w:tcW w:w="148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3676" w:type="dxa"/>
            <w:tcBorders>
              <w:left w:val="single" w:color="auto" w:sz="4" w:space="0"/>
              <w:right w:val="single" w:color="auto" w:sz="4" w:space="0"/>
            </w:tcBorders>
            <w:noWrap w:val="0"/>
            <w:vAlign w:val="center"/>
          </w:tcPr>
          <w:p>
            <w:pPr>
              <w:spacing w:line="0" w:lineRule="atLeast"/>
              <w:rPr>
                <w:sz w:val="24"/>
              </w:rPr>
            </w:pPr>
            <w:r>
              <w:rPr>
                <w:rFonts w:hint="eastAsia"/>
                <w:sz w:val="24"/>
                <w:lang w:val="en-US" w:eastAsia="zh-CN"/>
              </w:rPr>
              <w:t>截止12月底，</w:t>
            </w:r>
            <w:r>
              <w:rPr>
                <w:sz w:val="24"/>
              </w:rPr>
              <w:t>全市</w:t>
            </w:r>
            <w:r>
              <w:rPr>
                <w:rFonts w:hint="eastAsia"/>
                <w:sz w:val="24"/>
                <w:lang w:eastAsia="zh-CN"/>
              </w:rPr>
              <w:t>纳入特困供养人员救助</w:t>
            </w:r>
            <w:r>
              <w:rPr>
                <w:rFonts w:hint="eastAsia"/>
                <w:sz w:val="24"/>
                <w:lang w:val="en-US" w:eastAsia="zh-CN"/>
              </w:rPr>
              <w:t>5007人，1至12月共</w:t>
            </w:r>
            <w:r>
              <w:rPr>
                <w:sz w:val="24"/>
              </w:rPr>
              <w:t>发放照料护理费</w:t>
            </w:r>
            <w:r>
              <w:rPr>
                <w:rFonts w:hint="eastAsia"/>
                <w:sz w:val="24"/>
                <w:lang w:val="en-US" w:eastAsia="zh-CN"/>
              </w:rPr>
              <w:t>708.728</w:t>
            </w:r>
            <w:r>
              <w:rPr>
                <w:sz w:val="24"/>
              </w:rPr>
              <w:t>万元。</w:t>
            </w:r>
            <w:r>
              <w:rPr>
                <w:rFonts w:hint="eastAsia"/>
                <w:sz w:val="24"/>
                <w:lang w:eastAsia="zh-CN"/>
              </w:rPr>
              <w:t>其中：</w:t>
            </w:r>
            <w:r>
              <w:rPr>
                <w:sz w:val="24"/>
              </w:rPr>
              <w:t>全自理特困人员</w:t>
            </w:r>
            <w:r>
              <w:rPr>
                <w:rFonts w:hint="eastAsia"/>
                <w:sz w:val="24"/>
                <w:lang w:val="en-US" w:eastAsia="zh-CN"/>
              </w:rPr>
              <w:t>4055</w:t>
            </w:r>
            <w:r>
              <w:rPr>
                <w:sz w:val="24"/>
              </w:rPr>
              <w:t>人</w:t>
            </w:r>
            <w:r>
              <w:rPr>
                <w:rFonts w:hint="eastAsia"/>
                <w:sz w:val="24"/>
                <w:lang w:eastAsia="zh-CN"/>
              </w:rPr>
              <w:t>，发放</w:t>
            </w:r>
            <w:r>
              <w:rPr>
                <w:sz w:val="24"/>
              </w:rPr>
              <w:t>分散护理费</w:t>
            </w:r>
            <w:r>
              <w:rPr>
                <w:rFonts w:hint="eastAsia"/>
                <w:sz w:val="24"/>
                <w:lang w:val="en-US" w:eastAsia="zh-CN"/>
              </w:rPr>
              <w:t>97.09</w:t>
            </w:r>
            <w:r>
              <w:rPr>
                <w:sz w:val="24"/>
              </w:rPr>
              <w:t>万元；半自理（半失能）特困人员</w:t>
            </w:r>
            <w:r>
              <w:rPr>
                <w:rFonts w:hint="eastAsia"/>
                <w:sz w:val="24"/>
                <w:lang w:val="en-US" w:eastAsia="zh-CN"/>
              </w:rPr>
              <w:t>396</w:t>
            </w:r>
            <w:r>
              <w:rPr>
                <w:sz w:val="24"/>
              </w:rPr>
              <w:t>人</w:t>
            </w:r>
            <w:r>
              <w:rPr>
                <w:rFonts w:hint="eastAsia"/>
                <w:sz w:val="24"/>
                <w:lang w:eastAsia="zh-CN"/>
              </w:rPr>
              <w:t>，发放</w:t>
            </w:r>
            <w:r>
              <w:rPr>
                <w:sz w:val="24"/>
              </w:rPr>
              <w:t>分散护理费</w:t>
            </w:r>
            <w:r>
              <w:rPr>
                <w:rFonts w:hint="eastAsia"/>
                <w:sz w:val="24"/>
                <w:lang w:val="en-US" w:eastAsia="zh-CN"/>
              </w:rPr>
              <w:t>26.082</w:t>
            </w:r>
            <w:r>
              <w:rPr>
                <w:sz w:val="24"/>
              </w:rPr>
              <w:t>万元；全护理（全失能）特困人员</w:t>
            </w:r>
            <w:r>
              <w:rPr>
                <w:rFonts w:hint="eastAsia"/>
                <w:sz w:val="24"/>
                <w:lang w:val="en-US" w:eastAsia="zh-CN"/>
              </w:rPr>
              <w:t>133</w:t>
            </w:r>
            <w:r>
              <w:rPr>
                <w:sz w:val="24"/>
              </w:rPr>
              <w:t>人，</w:t>
            </w:r>
            <w:r>
              <w:rPr>
                <w:rFonts w:hint="eastAsia"/>
                <w:sz w:val="24"/>
                <w:lang w:eastAsia="zh-CN"/>
              </w:rPr>
              <w:t>发放</w:t>
            </w:r>
            <w:r>
              <w:rPr>
                <w:sz w:val="24"/>
              </w:rPr>
              <w:t>分散护理费</w:t>
            </w:r>
            <w:r>
              <w:rPr>
                <w:rFonts w:hint="eastAsia"/>
                <w:sz w:val="24"/>
                <w:lang w:val="en-US" w:eastAsia="zh-CN"/>
              </w:rPr>
              <w:t>31.536</w:t>
            </w:r>
            <w:r>
              <w:rPr>
                <w:sz w:val="24"/>
              </w:rPr>
              <w:t>万元</w:t>
            </w:r>
            <w:r>
              <w:rPr>
                <w:rFonts w:hint="eastAsia"/>
                <w:sz w:val="24"/>
                <w:lang w:eastAsia="zh-CN"/>
              </w:rPr>
              <w:t>；</w:t>
            </w:r>
            <w:r>
              <w:rPr>
                <w:sz w:val="24"/>
              </w:rPr>
              <w:t>纳入集中供养失能特困人员</w:t>
            </w:r>
            <w:r>
              <w:rPr>
                <w:rFonts w:hint="eastAsia"/>
                <w:sz w:val="24"/>
                <w:lang w:val="en-US" w:eastAsia="zh-CN"/>
              </w:rPr>
              <w:t>423</w:t>
            </w:r>
            <w:r>
              <w:rPr>
                <w:sz w:val="24"/>
              </w:rPr>
              <w:t>人，</w:t>
            </w:r>
            <w:r>
              <w:rPr>
                <w:rFonts w:hint="eastAsia"/>
                <w:sz w:val="24"/>
                <w:lang w:eastAsia="zh-CN"/>
              </w:rPr>
              <w:t>发放</w:t>
            </w:r>
            <w:r>
              <w:rPr>
                <w:sz w:val="24"/>
              </w:rPr>
              <w:t>集中供养护理费</w:t>
            </w:r>
            <w:r>
              <w:rPr>
                <w:rFonts w:hint="eastAsia"/>
                <w:sz w:val="24"/>
                <w:lang w:val="en-US" w:eastAsia="zh-CN"/>
              </w:rPr>
              <w:t>554.02</w:t>
            </w:r>
            <w:r>
              <w:rPr>
                <w:sz w:val="24"/>
              </w:rPr>
              <w:t>万元。</w:t>
            </w:r>
          </w:p>
        </w:tc>
        <w:tc>
          <w:tcPr>
            <w:tcW w:w="88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100%</w:t>
            </w:r>
          </w:p>
        </w:tc>
      </w:tr>
    </w:tbl>
    <w:p>
      <w:pPr>
        <w:spacing w:line="0" w:lineRule="atLeast"/>
        <w:ind w:firstLine="241" w:firstLineChars="100"/>
        <w:rPr>
          <w:rFonts w:hint="eastAsia"/>
          <w:b/>
          <w:sz w:val="24"/>
        </w:rPr>
      </w:pPr>
    </w:p>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5"/>
        <w:tblW w:w="13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3233"/>
        <w:gridCol w:w="1800"/>
        <w:gridCol w:w="1517"/>
        <w:gridCol w:w="341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1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4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14" w:type="dxa"/>
            <w:vMerge w:val="continue"/>
            <w:tcBorders>
              <w:left w:val="single" w:color="auto" w:sz="4" w:space="0"/>
              <w:right w:val="single" w:color="auto" w:sz="4" w:space="0"/>
            </w:tcBorders>
            <w:noWrap w:val="0"/>
            <w:vAlign w:val="center"/>
          </w:tcPr>
          <w:p>
            <w:pPr>
              <w:spacing w:line="0" w:lineRule="atLeast"/>
              <w:rPr>
                <w:sz w:val="24"/>
              </w:rPr>
            </w:pPr>
          </w:p>
        </w:tc>
        <w:tc>
          <w:tcPr>
            <w:tcW w:w="3233" w:type="dxa"/>
            <w:vMerge w:val="continue"/>
            <w:tcBorders>
              <w:left w:val="single" w:color="auto" w:sz="4" w:space="0"/>
              <w:right w:val="single" w:color="auto" w:sz="4" w:space="0"/>
            </w:tcBorders>
            <w:noWrap w:val="0"/>
            <w:vAlign w:val="center"/>
          </w:tcPr>
          <w:p>
            <w:pPr>
              <w:spacing w:line="0" w:lineRule="atLeast"/>
              <w:rPr>
                <w:sz w:val="24"/>
              </w:rPr>
            </w:pPr>
          </w:p>
        </w:tc>
        <w:tc>
          <w:tcPr>
            <w:tcW w:w="18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416"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jc w:val="center"/>
        </w:trPr>
        <w:tc>
          <w:tcPr>
            <w:tcW w:w="2314"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提高城乡居民救助补助标准</w:t>
            </w:r>
          </w:p>
        </w:tc>
        <w:tc>
          <w:tcPr>
            <w:tcW w:w="3233" w:type="dxa"/>
            <w:tcBorders>
              <w:left w:val="single" w:color="auto" w:sz="4" w:space="0"/>
              <w:right w:val="single" w:color="auto" w:sz="4" w:space="0"/>
            </w:tcBorders>
            <w:noWrap w:val="0"/>
            <w:vAlign w:val="center"/>
          </w:tcPr>
          <w:p>
            <w:pPr>
              <w:spacing w:line="0" w:lineRule="atLeast"/>
              <w:rPr>
                <w:rFonts w:eastAsia="仿宋_GB2312"/>
                <w:sz w:val="24"/>
              </w:rPr>
            </w:pPr>
            <w:r>
              <w:rPr>
                <w:rFonts w:hAnsi="仿宋_GB2312" w:eastAsia="仿宋_GB2312"/>
                <w:sz w:val="24"/>
              </w:rPr>
              <w:t>全市集中供养和散居孤儿（含艾滋病病毒感染儿童）基本生活保障标准分别提高到</w:t>
            </w:r>
            <w:r>
              <w:rPr>
                <w:rFonts w:eastAsia="仿宋_GB2312"/>
                <w:sz w:val="24"/>
              </w:rPr>
              <w:t>1820</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月和</w:t>
            </w:r>
            <w:r>
              <w:rPr>
                <w:rFonts w:eastAsia="仿宋_GB2312"/>
                <w:sz w:val="24"/>
              </w:rPr>
              <w:t>1110</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w:t>
            </w:r>
            <w:r>
              <w:rPr>
                <w:rFonts w:hint="default" w:ascii="Times New Roman" w:hAnsi="Times New Roman" w:cs="Times New Roman"/>
                <w:sz w:val="24"/>
              </w:rPr>
              <w:t>●</w:t>
            </w:r>
            <w:r>
              <w:rPr>
                <w:rFonts w:hint="eastAsia"/>
                <w:sz w:val="24"/>
              </w:rPr>
              <w:t>▲</w:t>
            </w:r>
          </w:p>
          <w:p>
            <w:pPr>
              <w:spacing w:line="0" w:lineRule="atLeast"/>
              <w:rPr>
                <w:sz w:val="24"/>
              </w:rPr>
            </w:pPr>
          </w:p>
        </w:tc>
        <w:tc>
          <w:tcPr>
            <w:tcW w:w="180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15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416" w:type="dxa"/>
            <w:tcBorders>
              <w:left w:val="single" w:color="auto" w:sz="4" w:space="0"/>
              <w:right w:val="single" w:color="auto" w:sz="4" w:space="0"/>
            </w:tcBorders>
            <w:noWrap w:val="0"/>
            <w:vAlign w:val="center"/>
          </w:tcPr>
          <w:p>
            <w:pPr>
              <w:spacing w:line="0" w:lineRule="atLeast"/>
              <w:rPr>
                <w:sz w:val="24"/>
              </w:rPr>
            </w:pPr>
            <w:r>
              <w:rPr>
                <w:rFonts w:hint="eastAsia"/>
                <w:sz w:val="24"/>
              </w:rPr>
              <w:t>2020年我市孤儿生活补助标准</w:t>
            </w:r>
            <w:r>
              <w:rPr>
                <w:rFonts w:hint="eastAsia"/>
                <w:sz w:val="24"/>
                <w:lang w:eastAsia="zh-CN"/>
              </w:rPr>
              <w:t>为</w:t>
            </w:r>
            <w:r>
              <w:rPr>
                <w:rFonts w:hint="eastAsia"/>
                <w:sz w:val="24"/>
              </w:rPr>
              <w:t>集中供养孤儿1820元/人/月</w:t>
            </w:r>
            <w:r>
              <w:rPr>
                <w:rFonts w:hint="eastAsia"/>
                <w:sz w:val="24"/>
                <w:lang w:eastAsia="zh-CN"/>
              </w:rPr>
              <w:t>、</w:t>
            </w:r>
            <w:r>
              <w:rPr>
                <w:rFonts w:hint="eastAsia"/>
                <w:sz w:val="24"/>
              </w:rPr>
              <w:t>社会散居孤儿1110元/人/月。</w:t>
            </w:r>
            <w:r>
              <w:rPr>
                <w:rFonts w:hint="eastAsia"/>
                <w:sz w:val="24"/>
                <w:lang w:eastAsia="zh-CN"/>
              </w:rPr>
              <w:t>截止</w:t>
            </w:r>
            <w:r>
              <w:rPr>
                <w:rFonts w:hint="eastAsia"/>
                <w:sz w:val="24"/>
                <w:lang w:val="en-US" w:eastAsia="zh-CN"/>
              </w:rPr>
              <w:t>12月底，</w:t>
            </w:r>
            <w:r>
              <w:rPr>
                <w:rFonts w:hint="eastAsia"/>
                <w:sz w:val="24"/>
              </w:rPr>
              <w:t>全市孤儿</w:t>
            </w:r>
            <w:r>
              <w:rPr>
                <w:rFonts w:hint="eastAsia"/>
                <w:sz w:val="24"/>
                <w:lang w:val="en-US" w:eastAsia="zh-CN"/>
              </w:rPr>
              <w:t>381</w:t>
            </w:r>
            <w:r>
              <w:rPr>
                <w:rFonts w:hint="eastAsia"/>
                <w:sz w:val="24"/>
              </w:rPr>
              <w:t>人</w:t>
            </w:r>
            <w:r>
              <w:rPr>
                <w:rFonts w:hint="eastAsia"/>
                <w:sz w:val="24"/>
                <w:lang w:eastAsia="zh-CN"/>
              </w:rPr>
              <w:t>（其中</w:t>
            </w:r>
            <w:r>
              <w:rPr>
                <w:rFonts w:hint="eastAsia"/>
                <w:sz w:val="24"/>
              </w:rPr>
              <w:t>集中供养孤儿</w:t>
            </w:r>
            <w:r>
              <w:rPr>
                <w:rFonts w:hint="eastAsia"/>
                <w:sz w:val="24"/>
                <w:lang w:val="en-US" w:eastAsia="zh-CN"/>
              </w:rPr>
              <w:t>140人</w:t>
            </w:r>
            <w:r>
              <w:rPr>
                <w:rFonts w:hint="eastAsia"/>
                <w:sz w:val="24"/>
              </w:rPr>
              <w:t>、社会散居孤儿</w:t>
            </w:r>
            <w:r>
              <w:rPr>
                <w:rFonts w:hint="eastAsia"/>
                <w:sz w:val="24"/>
                <w:lang w:val="en-US" w:eastAsia="zh-CN"/>
              </w:rPr>
              <w:t>241人</w:t>
            </w:r>
            <w:r>
              <w:rPr>
                <w:rFonts w:hint="eastAsia"/>
                <w:sz w:val="24"/>
                <w:lang w:eastAsia="zh-CN"/>
              </w:rPr>
              <w:t>）</w:t>
            </w:r>
            <w:r>
              <w:rPr>
                <w:rFonts w:hint="eastAsia"/>
                <w:sz w:val="24"/>
              </w:rPr>
              <w:t>，</w:t>
            </w:r>
            <w:r>
              <w:rPr>
                <w:rFonts w:hint="eastAsia"/>
                <w:sz w:val="24"/>
                <w:lang w:val="en-US" w:eastAsia="zh-CN"/>
              </w:rPr>
              <w:t>1至12月</w:t>
            </w:r>
            <w:r>
              <w:rPr>
                <w:rFonts w:hint="eastAsia"/>
                <w:sz w:val="24"/>
              </w:rPr>
              <w:t>共发放孤儿基本生活费</w:t>
            </w:r>
            <w:r>
              <w:rPr>
                <w:rFonts w:hint="eastAsia"/>
                <w:sz w:val="24"/>
                <w:lang w:val="en-US" w:eastAsia="zh-CN"/>
              </w:rPr>
              <w:t>692.3</w:t>
            </w:r>
            <w:r>
              <w:rPr>
                <w:rFonts w:hint="eastAsia"/>
                <w:sz w:val="24"/>
              </w:rPr>
              <w:t>万元。</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2314"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3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困难残疾人生活补贴标准提高到</w:t>
            </w:r>
            <w:r>
              <w:rPr>
                <w:rFonts w:eastAsia="仿宋_GB2312"/>
                <w:sz w:val="24"/>
              </w:rPr>
              <w:t>175</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月，重度残疾人护理补贴标准提高到</w:t>
            </w:r>
            <w:r>
              <w:rPr>
                <w:rFonts w:eastAsia="仿宋_GB2312"/>
                <w:sz w:val="24"/>
              </w:rPr>
              <w:t>235</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w:t>
            </w:r>
            <w:r>
              <w:rPr>
                <w:rFonts w:hint="default" w:ascii="Times New Roman" w:hAnsi="Times New Roman" w:cs="Times New Roman"/>
                <w:sz w:val="24"/>
              </w:rPr>
              <w:t>●</w:t>
            </w:r>
            <w:r>
              <w:rPr>
                <w:rFonts w:hint="eastAsia"/>
                <w:sz w:val="24"/>
              </w:rPr>
              <w:t>▲</w:t>
            </w:r>
          </w:p>
        </w:tc>
        <w:tc>
          <w:tcPr>
            <w:tcW w:w="180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15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416"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截止</w:t>
            </w:r>
            <w:r>
              <w:rPr>
                <w:rFonts w:hint="eastAsia"/>
                <w:sz w:val="24"/>
                <w:lang w:val="en-US" w:eastAsia="zh-CN"/>
              </w:rPr>
              <w:t>12月底，</w:t>
            </w:r>
            <w:r>
              <w:rPr>
                <w:rFonts w:hint="eastAsia"/>
                <w:sz w:val="24"/>
                <w:lang w:eastAsia="zh-CN"/>
              </w:rPr>
              <w:t>全市</w:t>
            </w:r>
            <w:r>
              <w:rPr>
                <w:rFonts w:hint="eastAsia"/>
                <w:sz w:val="24"/>
              </w:rPr>
              <w:t>困难残疾人</w:t>
            </w:r>
            <w:r>
              <w:rPr>
                <w:rFonts w:hint="eastAsia"/>
                <w:sz w:val="24"/>
                <w:lang w:val="en-US" w:eastAsia="zh-CN"/>
              </w:rPr>
              <w:t>8436</w:t>
            </w:r>
            <w:r>
              <w:rPr>
                <w:rFonts w:hint="eastAsia"/>
                <w:sz w:val="24"/>
                <w:lang w:eastAsia="zh-CN"/>
              </w:rPr>
              <w:t>人、</w:t>
            </w:r>
            <w:r>
              <w:rPr>
                <w:rFonts w:hint="eastAsia"/>
                <w:sz w:val="24"/>
              </w:rPr>
              <w:t>重度残疾人</w:t>
            </w:r>
            <w:r>
              <w:rPr>
                <w:rFonts w:hint="eastAsia"/>
                <w:sz w:val="24"/>
                <w:lang w:val="en-US" w:eastAsia="zh-CN"/>
              </w:rPr>
              <w:t>16098</w:t>
            </w:r>
            <w:r>
              <w:rPr>
                <w:rFonts w:hint="eastAsia"/>
                <w:sz w:val="24"/>
                <w:lang w:eastAsia="zh-CN"/>
              </w:rPr>
              <w:t>人，</w:t>
            </w:r>
            <w:r>
              <w:rPr>
                <w:rFonts w:hint="eastAsia"/>
                <w:sz w:val="24"/>
                <w:lang w:val="en-US" w:eastAsia="zh-CN"/>
              </w:rPr>
              <w:t>1至12月共</w:t>
            </w:r>
            <w:r>
              <w:rPr>
                <w:rFonts w:hint="eastAsia"/>
                <w:sz w:val="24"/>
              </w:rPr>
              <w:t>发放残疾人“两项补贴”</w:t>
            </w:r>
            <w:r>
              <w:rPr>
                <w:rFonts w:hint="eastAsia"/>
                <w:sz w:val="24"/>
                <w:lang w:val="en-US" w:eastAsia="zh-CN"/>
              </w:rPr>
              <w:t>5937.1295</w:t>
            </w:r>
            <w:r>
              <w:rPr>
                <w:rFonts w:hint="eastAsia"/>
                <w:sz w:val="24"/>
              </w:rPr>
              <w:t>万元。其中</w:t>
            </w:r>
            <w:r>
              <w:rPr>
                <w:rFonts w:hint="eastAsia"/>
                <w:sz w:val="24"/>
                <w:lang w:val="en-US" w:eastAsia="zh-CN"/>
              </w:rPr>
              <w:t>:</w:t>
            </w:r>
            <w:r>
              <w:rPr>
                <w:rFonts w:hint="eastAsia"/>
                <w:sz w:val="24"/>
                <w:lang w:eastAsia="zh-CN"/>
              </w:rPr>
              <w:t>发放</w:t>
            </w:r>
            <w:r>
              <w:rPr>
                <w:rFonts w:hint="eastAsia"/>
                <w:sz w:val="24"/>
              </w:rPr>
              <w:t>困难残疾人</w:t>
            </w:r>
            <w:r>
              <w:rPr>
                <w:rFonts w:hAnsi="仿宋_GB2312" w:eastAsia="仿宋_GB2312"/>
                <w:sz w:val="24"/>
              </w:rPr>
              <w:t>生活补贴</w:t>
            </w:r>
            <w:r>
              <w:rPr>
                <w:rFonts w:hint="eastAsia"/>
                <w:sz w:val="24"/>
                <w:lang w:val="en-US" w:eastAsia="zh-CN"/>
              </w:rPr>
              <w:t>1644.3175</w:t>
            </w:r>
            <w:r>
              <w:rPr>
                <w:rFonts w:hint="eastAsia"/>
                <w:sz w:val="24"/>
              </w:rPr>
              <w:t>万元，</w:t>
            </w:r>
            <w:r>
              <w:rPr>
                <w:rFonts w:hint="eastAsia"/>
                <w:sz w:val="24"/>
                <w:lang w:eastAsia="zh-CN"/>
              </w:rPr>
              <w:t>发放</w:t>
            </w:r>
            <w:r>
              <w:rPr>
                <w:rFonts w:hint="eastAsia"/>
                <w:sz w:val="24"/>
              </w:rPr>
              <w:t>重度残疾人护理补贴</w:t>
            </w:r>
            <w:r>
              <w:rPr>
                <w:rFonts w:hint="eastAsia"/>
                <w:sz w:val="24"/>
                <w:lang w:val="en-US" w:eastAsia="zh-CN"/>
              </w:rPr>
              <w:t>4292.8120</w:t>
            </w:r>
            <w:r>
              <w:rPr>
                <w:rFonts w:hint="eastAsia"/>
                <w:sz w:val="24"/>
              </w:rPr>
              <w:t>万元。</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100%</w:t>
            </w:r>
          </w:p>
        </w:tc>
      </w:tr>
    </w:tbl>
    <w:p>
      <w:pPr>
        <w:spacing w:line="0" w:lineRule="atLeast"/>
        <w:rPr>
          <w:rFonts w:hint="eastAsia"/>
          <w:b/>
          <w:sz w:val="24"/>
        </w:rPr>
      </w:pPr>
    </w:p>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tbl>
      <w:tblPr>
        <w:tblStyle w:val="5"/>
        <w:tblW w:w="13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3250"/>
        <w:gridCol w:w="1767"/>
        <w:gridCol w:w="1533"/>
        <w:gridCol w:w="340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40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9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35" w:type="dxa"/>
            <w:vMerge w:val="continue"/>
            <w:tcBorders>
              <w:left w:val="single" w:color="auto" w:sz="4" w:space="0"/>
              <w:right w:val="single" w:color="auto" w:sz="4" w:space="0"/>
            </w:tcBorders>
            <w:noWrap w:val="0"/>
            <w:vAlign w:val="center"/>
          </w:tcPr>
          <w:p>
            <w:pPr>
              <w:spacing w:line="0" w:lineRule="atLeast"/>
              <w:rPr>
                <w:sz w:val="24"/>
              </w:rPr>
            </w:pPr>
          </w:p>
        </w:tc>
        <w:tc>
          <w:tcPr>
            <w:tcW w:w="3250"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406" w:type="dxa"/>
            <w:vMerge w:val="continue"/>
            <w:tcBorders>
              <w:left w:val="single" w:color="auto" w:sz="4" w:space="0"/>
              <w:right w:val="single" w:color="auto" w:sz="4" w:space="0"/>
            </w:tcBorders>
            <w:noWrap w:val="0"/>
            <w:vAlign w:val="center"/>
          </w:tcPr>
          <w:p>
            <w:pPr>
              <w:spacing w:line="0" w:lineRule="atLeast"/>
              <w:rPr>
                <w:sz w:val="24"/>
              </w:rPr>
            </w:pPr>
          </w:p>
        </w:tc>
        <w:tc>
          <w:tcPr>
            <w:tcW w:w="109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2335"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改善城市居住环境</w:t>
            </w:r>
          </w:p>
        </w:tc>
        <w:tc>
          <w:tcPr>
            <w:tcW w:w="3250" w:type="dxa"/>
            <w:vMerge w:val="restart"/>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Ansi="仿宋_GB2312" w:eastAsia="仿宋_GB2312"/>
                <w:sz w:val="24"/>
              </w:rPr>
              <w:t>建设市区吉祥公园</w:t>
            </w:r>
            <w:r>
              <w:rPr>
                <w:rFonts w:hint="eastAsia" w:hAnsi="仿宋_GB2312"/>
                <w:sz w:val="24"/>
                <w:lang w:eastAsia="zh-CN"/>
              </w:rPr>
              <w:t>（</w:t>
            </w:r>
            <w:r>
              <w:rPr>
                <w:rFonts w:hint="default" w:ascii="Times New Roman" w:hAnsi="Times New Roman" w:cs="Times New Roman"/>
                <w:sz w:val="24"/>
                <w:lang w:eastAsia="zh-CN"/>
              </w:rPr>
              <w:t>项目总投资为2975万元，</w:t>
            </w:r>
            <w:r>
              <w:rPr>
                <w:rFonts w:hint="eastAsia" w:ascii="Times New Roman" w:hAnsi="Times New Roman" w:cs="Times New Roman"/>
                <w:sz w:val="24"/>
                <w:lang w:val="en-US" w:eastAsia="zh-CN"/>
              </w:rPr>
              <w:t>2020</w:t>
            </w:r>
            <w:r>
              <w:rPr>
                <w:rFonts w:hint="default" w:ascii="Times New Roman" w:hAnsi="Times New Roman" w:cs="Times New Roman"/>
                <w:sz w:val="24"/>
                <w:lang w:eastAsia="zh-CN"/>
              </w:rPr>
              <w:t>年</w:t>
            </w:r>
            <w:r>
              <w:rPr>
                <w:rFonts w:hint="eastAsia" w:ascii="Times New Roman" w:hAnsi="Times New Roman" w:cs="Times New Roman"/>
                <w:sz w:val="24"/>
                <w:lang w:eastAsia="zh-CN"/>
              </w:rPr>
              <w:t>度</w:t>
            </w:r>
            <w:r>
              <w:rPr>
                <w:rFonts w:hint="default" w:ascii="Times New Roman" w:hAnsi="Times New Roman" w:cs="Times New Roman"/>
                <w:sz w:val="24"/>
                <w:lang w:eastAsia="zh-CN"/>
              </w:rPr>
              <w:t>计划投资约1755万元</w:t>
            </w:r>
            <w:r>
              <w:rPr>
                <w:rFonts w:hint="eastAsia" w:ascii="Times New Roman" w:hAnsi="Times New Roman" w:cs="Times New Roman"/>
                <w:sz w:val="24"/>
                <w:lang w:eastAsia="zh-CN"/>
              </w:rPr>
              <w:t>。</w:t>
            </w:r>
            <w:r>
              <w:rPr>
                <w:rFonts w:hint="default" w:ascii="Times New Roman" w:hAnsi="Times New Roman" w:cs="Times New Roman"/>
                <w:sz w:val="24"/>
                <w:lang w:eastAsia="zh-CN"/>
              </w:rPr>
              <w:t>年度建设任务：完成回填土方24万立方米，配套用房和人工湖的主体建设等。</w:t>
            </w:r>
            <w:r>
              <w:rPr>
                <w:rFonts w:hint="eastAsia" w:hAnsi="仿宋_GB2312"/>
                <w:sz w:val="24"/>
                <w:lang w:eastAsia="zh-CN"/>
              </w:rPr>
              <w:t>）</w:t>
            </w:r>
            <w:r>
              <w:rPr>
                <w:rFonts w:hint="default" w:ascii="Times New Roman" w:hAnsi="Times New Roman" w:cs="Times New Roman"/>
                <w:sz w:val="24"/>
              </w:rPr>
              <w:t>●</w:t>
            </w:r>
          </w:p>
        </w:tc>
        <w:tc>
          <w:tcPr>
            <w:tcW w:w="1767"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市住建局</w:t>
            </w:r>
          </w:p>
        </w:tc>
        <w:tc>
          <w:tcPr>
            <w:tcW w:w="1533"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张奕文</w:t>
            </w:r>
          </w:p>
        </w:tc>
        <w:tc>
          <w:tcPr>
            <w:tcW w:w="3406" w:type="dxa"/>
            <w:vMerge w:val="restart"/>
            <w:tcBorders>
              <w:left w:val="single" w:color="auto" w:sz="4" w:space="0"/>
              <w:right w:val="single" w:color="auto" w:sz="4" w:space="0"/>
            </w:tcBorders>
            <w:noWrap w:val="0"/>
            <w:vAlign w:val="center"/>
          </w:tcPr>
          <w:p>
            <w:pPr>
              <w:spacing w:line="0" w:lineRule="atLeast"/>
              <w:rPr>
                <w:rFonts w:hint="eastAsia"/>
                <w:sz w:val="24"/>
              </w:rPr>
            </w:pPr>
            <w:r>
              <w:rPr>
                <w:rFonts w:hint="eastAsia"/>
                <w:sz w:val="24"/>
              </w:rPr>
              <w:t>已回填土方2</w:t>
            </w:r>
            <w:r>
              <w:rPr>
                <w:rFonts w:hint="eastAsia"/>
                <w:sz w:val="24"/>
                <w:lang w:val="en-US" w:eastAsia="zh-CN"/>
              </w:rPr>
              <w:t>2</w:t>
            </w:r>
            <w:r>
              <w:rPr>
                <w:rFonts w:hint="eastAsia"/>
                <w:sz w:val="24"/>
              </w:rPr>
              <w:t>万立方米</w:t>
            </w:r>
            <w:r>
              <w:rPr>
                <w:rFonts w:hint="eastAsia"/>
                <w:sz w:val="24"/>
                <w:lang w:eastAsia="zh-CN"/>
              </w:rPr>
              <w:t>。</w:t>
            </w:r>
            <w:r>
              <w:rPr>
                <w:rFonts w:hint="eastAsia"/>
                <w:sz w:val="24"/>
              </w:rPr>
              <w:t>完成公厕、管理用房等主体结构</w:t>
            </w:r>
            <w:r>
              <w:rPr>
                <w:rFonts w:hint="eastAsia"/>
                <w:sz w:val="24"/>
                <w:lang w:eastAsia="zh-CN"/>
              </w:rPr>
              <w:t>；</w:t>
            </w:r>
            <w:r>
              <w:rPr>
                <w:rFonts w:hint="eastAsia"/>
                <w:sz w:val="24"/>
              </w:rPr>
              <w:t>基本完成人工湖、湿地主体。</w:t>
            </w:r>
          </w:p>
          <w:p>
            <w:pPr>
              <w:spacing w:line="0" w:lineRule="atLeast"/>
              <w:rPr>
                <w:rFonts w:hint="default" w:eastAsia="仿宋_GB2312"/>
                <w:sz w:val="24"/>
                <w:lang w:val="en-US" w:eastAsia="zh-CN"/>
              </w:rPr>
            </w:pPr>
            <w:r>
              <w:rPr>
                <w:rFonts w:hint="eastAsia"/>
                <w:sz w:val="24"/>
              </w:rPr>
              <w:t>1</w:t>
            </w:r>
            <w:r>
              <w:rPr>
                <w:rFonts w:hint="eastAsia"/>
                <w:sz w:val="24"/>
                <w:lang w:eastAsia="zh-CN"/>
              </w:rPr>
              <w:t>至</w:t>
            </w:r>
            <w:r>
              <w:rPr>
                <w:rFonts w:hint="eastAsia"/>
                <w:sz w:val="24"/>
              </w:rPr>
              <w:t>12月</w:t>
            </w:r>
            <w:r>
              <w:rPr>
                <w:rFonts w:hint="eastAsia"/>
                <w:sz w:val="24"/>
                <w:lang w:eastAsia="zh-CN"/>
              </w:rPr>
              <w:t>已</w:t>
            </w:r>
            <w:r>
              <w:rPr>
                <w:rFonts w:hint="eastAsia"/>
                <w:sz w:val="24"/>
              </w:rPr>
              <w:t>完成</w:t>
            </w:r>
            <w:r>
              <w:rPr>
                <w:rFonts w:hint="eastAsia"/>
                <w:sz w:val="24"/>
                <w:lang w:eastAsia="zh-CN"/>
              </w:rPr>
              <w:t>年度建设任务的</w:t>
            </w:r>
            <w:r>
              <w:rPr>
                <w:rFonts w:hint="eastAsia"/>
                <w:sz w:val="24"/>
                <w:lang w:val="en-US" w:eastAsia="zh-CN"/>
              </w:rPr>
              <w:t>95%.</w:t>
            </w:r>
          </w:p>
        </w:tc>
        <w:tc>
          <w:tcPr>
            <w:tcW w:w="1095"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0"/>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335" w:type="dxa"/>
            <w:vMerge w:val="continue"/>
            <w:tcBorders>
              <w:left w:val="single" w:color="auto" w:sz="4" w:space="0"/>
              <w:right w:val="single" w:color="auto" w:sz="4" w:space="0"/>
            </w:tcBorders>
            <w:noWrap w:val="0"/>
            <w:vAlign w:val="center"/>
          </w:tcPr>
          <w:p>
            <w:pPr>
              <w:spacing w:line="0" w:lineRule="atLeast"/>
              <w:jc w:val="center"/>
            </w:pPr>
          </w:p>
        </w:tc>
        <w:tc>
          <w:tcPr>
            <w:tcW w:w="3250"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1533" w:type="dxa"/>
            <w:vMerge w:val="continue"/>
            <w:tcBorders>
              <w:left w:val="single" w:color="auto" w:sz="4" w:space="0"/>
              <w:right w:val="single" w:color="auto" w:sz="4" w:space="0"/>
            </w:tcBorders>
            <w:noWrap w:val="0"/>
            <w:vAlign w:val="center"/>
          </w:tcPr>
          <w:p>
            <w:pPr>
              <w:spacing w:line="0" w:lineRule="atLeast"/>
              <w:jc w:val="center"/>
            </w:pPr>
          </w:p>
        </w:tc>
        <w:tc>
          <w:tcPr>
            <w:tcW w:w="3406" w:type="dxa"/>
            <w:vMerge w:val="continue"/>
            <w:tcBorders>
              <w:left w:val="single" w:color="auto" w:sz="4" w:space="0"/>
              <w:right w:val="single" w:color="auto" w:sz="4" w:space="0"/>
            </w:tcBorders>
            <w:noWrap w:val="0"/>
            <w:vAlign w:val="center"/>
          </w:tcPr>
          <w:p>
            <w:pPr>
              <w:spacing w:line="0" w:lineRule="atLeast"/>
              <w:jc w:val="center"/>
            </w:pPr>
          </w:p>
        </w:tc>
        <w:tc>
          <w:tcPr>
            <w:tcW w:w="1095" w:type="dxa"/>
            <w:vMerge w:val="continue"/>
            <w:tcBorders>
              <w:left w:val="single" w:color="auto" w:sz="4" w:space="0"/>
              <w:right w:val="single" w:color="auto" w:sz="4" w:space="0"/>
            </w:tcBorders>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2335"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50"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Ansi="仿宋_GB2312" w:eastAsia="仿宋_GB2312"/>
                <w:sz w:val="24"/>
              </w:rPr>
              <w:t>完成阳春市河西街道田螺埒整治</w:t>
            </w:r>
            <w:r>
              <w:rPr>
                <w:rFonts w:hint="eastAsia" w:hAnsi="仿宋_GB2312"/>
                <w:sz w:val="24"/>
                <w:lang w:eastAsia="zh-CN"/>
              </w:rPr>
              <w:t>。</w:t>
            </w:r>
            <w:r>
              <w:rPr>
                <w:rFonts w:hint="default" w:ascii="Times New Roman" w:hAnsi="Times New Roman" w:cs="Times New Roman"/>
                <w:sz w:val="24"/>
              </w:rPr>
              <w:t>●</w:t>
            </w:r>
          </w:p>
        </w:tc>
        <w:tc>
          <w:tcPr>
            <w:tcW w:w="176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市住建局</w:t>
            </w:r>
          </w:p>
        </w:tc>
        <w:tc>
          <w:tcPr>
            <w:tcW w:w="1533"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张奕文</w:t>
            </w:r>
          </w:p>
        </w:tc>
        <w:tc>
          <w:tcPr>
            <w:tcW w:w="3406"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项目已完工。</w:t>
            </w:r>
          </w:p>
        </w:tc>
        <w:tc>
          <w:tcPr>
            <w:tcW w:w="109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bl>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3267"/>
        <w:gridCol w:w="1767"/>
        <w:gridCol w:w="1566"/>
        <w:gridCol w:w="326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0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6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9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08" w:type="dxa"/>
            <w:vMerge w:val="continue"/>
            <w:tcBorders>
              <w:left w:val="single" w:color="auto" w:sz="4" w:space="0"/>
              <w:right w:val="single" w:color="auto" w:sz="4" w:space="0"/>
            </w:tcBorders>
            <w:noWrap w:val="0"/>
            <w:vAlign w:val="center"/>
          </w:tcPr>
          <w:p>
            <w:pPr>
              <w:spacing w:line="0" w:lineRule="atLeast"/>
              <w:rPr>
                <w:sz w:val="24"/>
              </w:rPr>
            </w:pPr>
          </w:p>
        </w:tc>
        <w:tc>
          <w:tcPr>
            <w:tcW w:w="3267"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6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64" w:type="dxa"/>
            <w:vMerge w:val="continue"/>
            <w:tcBorders>
              <w:left w:val="single" w:color="auto" w:sz="4" w:space="0"/>
              <w:right w:val="single" w:color="auto" w:sz="4" w:space="0"/>
            </w:tcBorders>
            <w:noWrap w:val="0"/>
            <w:vAlign w:val="center"/>
          </w:tcPr>
          <w:p>
            <w:pPr>
              <w:spacing w:line="0" w:lineRule="atLeast"/>
              <w:rPr>
                <w:sz w:val="24"/>
              </w:rPr>
            </w:pPr>
          </w:p>
        </w:tc>
        <w:tc>
          <w:tcPr>
            <w:tcW w:w="109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jc w:val="center"/>
        </w:trPr>
        <w:tc>
          <w:tcPr>
            <w:tcW w:w="2208"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优化交通基础设施建设</w:t>
            </w:r>
          </w:p>
        </w:tc>
        <w:tc>
          <w:tcPr>
            <w:tcW w:w="3267" w:type="dxa"/>
            <w:tcBorders>
              <w:left w:val="single" w:color="auto" w:sz="4" w:space="0"/>
              <w:right w:val="single" w:color="auto" w:sz="4" w:space="0"/>
            </w:tcBorders>
            <w:noWrap w:val="0"/>
            <w:vAlign w:val="center"/>
          </w:tcPr>
          <w:p>
            <w:pPr>
              <w:numPr>
                <w:ilvl w:val="0"/>
                <w:numId w:val="0"/>
              </w:numPr>
              <w:spacing w:line="0" w:lineRule="atLeast"/>
              <w:jc w:val="left"/>
              <w:rPr>
                <w:sz w:val="24"/>
              </w:rPr>
            </w:pPr>
            <w:r>
              <w:rPr>
                <w:rFonts w:hAnsi="仿宋_GB2312" w:eastAsia="仿宋_GB2312"/>
                <w:sz w:val="24"/>
              </w:rPr>
              <w:t>实施省道</w:t>
            </w:r>
            <w:r>
              <w:rPr>
                <w:rFonts w:eastAsia="仿宋_GB2312"/>
                <w:sz w:val="24"/>
              </w:rPr>
              <w:t>539</w:t>
            </w:r>
            <w:r>
              <w:rPr>
                <w:rFonts w:hAnsi="仿宋_GB2312" w:eastAsia="仿宋_GB2312"/>
                <w:sz w:val="24"/>
              </w:rPr>
              <w:t>线阳春黎湖至春湾清水塘段路面改造工程</w:t>
            </w:r>
            <w:r>
              <w:rPr>
                <w:rFonts w:hint="eastAsia" w:hAnsi="仿宋_GB2312"/>
                <w:sz w:val="24"/>
                <w:lang w:eastAsia="zh-CN"/>
              </w:rPr>
              <w:t>（总投资1.02亿元，2019年完成投资2500万，今年计划投资3000万元）</w:t>
            </w:r>
            <w:r>
              <w:rPr>
                <w:rFonts w:hAnsi="仿宋_GB2312" w:eastAsia="仿宋_GB2312"/>
                <w:sz w:val="24"/>
              </w:rPr>
              <w:t>。</w:t>
            </w:r>
            <w:r>
              <w:rPr>
                <w:rFonts w:hint="default" w:ascii="Times New Roman" w:hAnsi="Times New Roman" w:cs="Times New Roman"/>
                <w:sz w:val="24"/>
              </w:rPr>
              <w:t>●</w:t>
            </w:r>
          </w:p>
        </w:tc>
        <w:tc>
          <w:tcPr>
            <w:tcW w:w="1767" w:type="dxa"/>
            <w:tcBorders>
              <w:left w:val="single" w:color="auto" w:sz="4" w:space="0"/>
              <w:right w:val="single" w:color="auto" w:sz="4" w:space="0"/>
            </w:tcBorders>
            <w:noWrap w:val="0"/>
            <w:vAlign w:val="center"/>
          </w:tcPr>
          <w:p>
            <w:pPr>
              <w:spacing w:line="0" w:lineRule="atLeast"/>
              <w:jc w:val="center"/>
              <w:rPr>
                <w:rFonts w:eastAsia="仿宋_GB2312"/>
                <w:sz w:val="24"/>
              </w:rPr>
            </w:pPr>
            <w:r>
              <w:rPr>
                <w:rFonts w:hAnsi="仿宋_GB2312" w:eastAsia="仿宋_GB2312"/>
                <w:sz w:val="24"/>
              </w:rPr>
              <w:t>市交通</w:t>
            </w:r>
          </w:p>
          <w:p>
            <w:pPr>
              <w:spacing w:line="0" w:lineRule="atLeast"/>
              <w:jc w:val="center"/>
              <w:rPr>
                <w:sz w:val="24"/>
              </w:rPr>
            </w:pPr>
            <w:r>
              <w:rPr>
                <w:rFonts w:hAnsi="仿宋_GB2312" w:eastAsia="仿宋_GB2312"/>
                <w:sz w:val="24"/>
              </w:rPr>
              <w:t>运输局</w:t>
            </w:r>
          </w:p>
        </w:tc>
        <w:tc>
          <w:tcPr>
            <w:tcW w:w="1566"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陈华清</w:t>
            </w:r>
          </w:p>
        </w:tc>
        <w:tc>
          <w:tcPr>
            <w:tcW w:w="3264" w:type="dxa"/>
            <w:tcBorders>
              <w:left w:val="single" w:color="auto" w:sz="4" w:space="0"/>
              <w:right w:val="single" w:color="auto" w:sz="4" w:space="0"/>
            </w:tcBorders>
            <w:noWrap w:val="0"/>
            <w:vAlign w:val="center"/>
          </w:tcPr>
          <w:p>
            <w:pPr>
              <w:spacing w:line="0" w:lineRule="atLeast"/>
              <w:rPr>
                <w:rFonts w:hint="eastAsia"/>
                <w:sz w:val="24"/>
                <w:highlight w:val="none"/>
                <w:lang w:val="en-US" w:eastAsia="zh-CN"/>
              </w:rPr>
            </w:pPr>
            <w:r>
              <w:rPr>
                <w:rFonts w:hint="eastAsia" w:eastAsia="仿宋_GB2312"/>
                <w:sz w:val="24"/>
                <w:highlight w:val="none"/>
                <w:lang w:val="en-US" w:eastAsia="zh-CN"/>
              </w:rPr>
              <w:t>已完成</w:t>
            </w:r>
            <w:r>
              <w:rPr>
                <w:rFonts w:hint="eastAsia"/>
                <w:sz w:val="24"/>
                <w:highlight w:val="none"/>
                <w:lang w:val="en-US" w:eastAsia="zh-CN"/>
              </w:rPr>
              <w:t>项目主体</w:t>
            </w:r>
            <w:r>
              <w:rPr>
                <w:rFonts w:hint="eastAsia" w:eastAsia="仿宋_GB2312"/>
                <w:sz w:val="24"/>
                <w:highlight w:val="none"/>
                <w:lang w:val="en-US" w:eastAsia="zh-CN"/>
              </w:rPr>
              <w:t>工程</w:t>
            </w:r>
            <w:r>
              <w:rPr>
                <w:rFonts w:hint="eastAsia"/>
                <w:sz w:val="24"/>
                <w:highlight w:val="none"/>
                <w:lang w:val="en-US" w:eastAsia="zh-CN"/>
              </w:rPr>
              <w:t>建设，正在进行道路附属工程施工。</w:t>
            </w:r>
          </w:p>
          <w:p>
            <w:pPr>
              <w:spacing w:line="0" w:lineRule="atLeast"/>
              <w:rPr>
                <w:rFonts w:hint="eastAsia" w:eastAsia="仿宋_GB2312"/>
                <w:sz w:val="24"/>
                <w:lang w:val="en-US" w:eastAsia="zh-CN"/>
              </w:rPr>
            </w:pPr>
            <w:r>
              <w:rPr>
                <w:rFonts w:hint="eastAsia"/>
                <w:sz w:val="24"/>
                <w:highlight w:val="none"/>
                <w:lang w:val="en-US" w:eastAsia="zh-CN"/>
              </w:rPr>
              <w:t>1至12月</w:t>
            </w:r>
            <w:r>
              <w:rPr>
                <w:rFonts w:hint="eastAsia" w:eastAsia="仿宋_GB2312"/>
                <w:sz w:val="24"/>
                <w:lang w:val="en-US" w:eastAsia="zh-CN"/>
              </w:rPr>
              <w:t>完成年度</w:t>
            </w:r>
            <w:r>
              <w:rPr>
                <w:rFonts w:hint="eastAsia"/>
                <w:sz w:val="24"/>
                <w:lang w:val="en-US" w:eastAsia="zh-CN"/>
              </w:rPr>
              <w:t>计划</w:t>
            </w:r>
            <w:r>
              <w:rPr>
                <w:rFonts w:hint="eastAsia" w:eastAsia="仿宋_GB2312"/>
                <w:sz w:val="24"/>
                <w:lang w:val="en-US" w:eastAsia="zh-CN"/>
              </w:rPr>
              <w:t>投资。</w:t>
            </w:r>
          </w:p>
        </w:tc>
        <w:tc>
          <w:tcPr>
            <w:tcW w:w="109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2208"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67"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实施省道</w:t>
            </w:r>
            <w:r>
              <w:rPr>
                <w:rFonts w:eastAsia="仿宋_GB2312"/>
                <w:sz w:val="24"/>
              </w:rPr>
              <w:t>278</w:t>
            </w:r>
            <w:r>
              <w:rPr>
                <w:rFonts w:hAnsi="仿宋_GB2312" w:eastAsia="仿宋_GB2312"/>
                <w:sz w:val="24"/>
              </w:rPr>
              <w:t>线阳春牛坡岭至信宜交界段路面改造工程</w:t>
            </w:r>
            <w:r>
              <w:rPr>
                <w:rFonts w:hint="eastAsia" w:hAnsi="仿宋_GB2312"/>
                <w:sz w:val="24"/>
                <w:lang w:eastAsia="zh-CN"/>
              </w:rPr>
              <w:t>（总投资6788万元，2019年完成投资1500万，今年计划投资2500万元）</w:t>
            </w:r>
            <w:r>
              <w:rPr>
                <w:rFonts w:hAnsi="仿宋_GB2312" w:eastAsia="仿宋_GB2312"/>
                <w:sz w:val="24"/>
              </w:rPr>
              <w:t>。</w:t>
            </w:r>
            <w:r>
              <w:rPr>
                <w:rFonts w:hint="default" w:ascii="Times New Roman" w:hAnsi="Times New Roman" w:cs="Times New Roman"/>
                <w:sz w:val="24"/>
              </w:rPr>
              <w:t>●</w:t>
            </w:r>
          </w:p>
        </w:tc>
        <w:tc>
          <w:tcPr>
            <w:tcW w:w="1767" w:type="dxa"/>
            <w:tcBorders>
              <w:left w:val="single" w:color="auto" w:sz="4" w:space="0"/>
              <w:right w:val="single" w:color="auto" w:sz="4" w:space="0"/>
            </w:tcBorders>
            <w:noWrap w:val="0"/>
            <w:vAlign w:val="center"/>
          </w:tcPr>
          <w:p>
            <w:pPr>
              <w:spacing w:line="0" w:lineRule="atLeast"/>
              <w:jc w:val="center"/>
              <w:rPr>
                <w:rFonts w:eastAsia="仿宋_GB2312"/>
                <w:sz w:val="24"/>
              </w:rPr>
            </w:pPr>
            <w:r>
              <w:rPr>
                <w:rFonts w:hAnsi="仿宋_GB2312" w:eastAsia="仿宋_GB2312"/>
                <w:sz w:val="24"/>
              </w:rPr>
              <w:t>市交通</w:t>
            </w:r>
          </w:p>
          <w:p>
            <w:pPr>
              <w:spacing w:line="0" w:lineRule="atLeast"/>
              <w:jc w:val="center"/>
              <w:rPr>
                <w:sz w:val="24"/>
              </w:rPr>
            </w:pPr>
            <w:r>
              <w:rPr>
                <w:rFonts w:hAnsi="仿宋_GB2312" w:eastAsia="仿宋_GB2312"/>
                <w:sz w:val="24"/>
              </w:rPr>
              <w:t>运输局</w:t>
            </w:r>
          </w:p>
        </w:tc>
        <w:tc>
          <w:tcPr>
            <w:tcW w:w="1566"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陈华清</w:t>
            </w:r>
          </w:p>
        </w:tc>
        <w:tc>
          <w:tcPr>
            <w:tcW w:w="3264"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路基工程已完成80%，桥涵工程已完成35%，路面已完成半幅7.4公里。1至12月完成年度计划投资。</w:t>
            </w:r>
          </w:p>
        </w:tc>
        <w:tc>
          <w:tcPr>
            <w:tcW w:w="109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0"/>
                <w:sz w:val="24"/>
                <w:lang w:val="en-US" w:eastAsia="zh-CN"/>
              </w:rPr>
              <w:t>100%</w:t>
            </w:r>
          </w:p>
        </w:tc>
      </w:tr>
    </w:tbl>
    <w:p>
      <w:pPr>
        <w:spacing w:line="0" w:lineRule="atLeast"/>
        <w:ind w:firstLine="241" w:firstLineChars="100"/>
        <w:rPr>
          <w:rFonts w:hint="eastAsia"/>
          <w:b/>
          <w:sz w:val="24"/>
        </w:rPr>
      </w:pPr>
    </w:p>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3283"/>
        <w:gridCol w:w="1800"/>
        <w:gridCol w:w="1550"/>
        <w:gridCol w:w="326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7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6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79" w:type="dxa"/>
            <w:vMerge w:val="continue"/>
            <w:tcBorders>
              <w:left w:val="single" w:color="auto" w:sz="4" w:space="0"/>
              <w:right w:val="single" w:color="auto" w:sz="4" w:space="0"/>
            </w:tcBorders>
            <w:noWrap w:val="0"/>
            <w:vAlign w:val="center"/>
          </w:tcPr>
          <w:p>
            <w:pPr>
              <w:spacing w:line="0" w:lineRule="atLeast"/>
              <w:rPr>
                <w:sz w:val="24"/>
              </w:rPr>
            </w:pPr>
          </w:p>
        </w:tc>
        <w:tc>
          <w:tcPr>
            <w:tcW w:w="3283" w:type="dxa"/>
            <w:vMerge w:val="continue"/>
            <w:tcBorders>
              <w:left w:val="single" w:color="auto" w:sz="4" w:space="0"/>
              <w:right w:val="single" w:color="auto" w:sz="4" w:space="0"/>
            </w:tcBorders>
            <w:noWrap w:val="0"/>
            <w:vAlign w:val="center"/>
          </w:tcPr>
          <w:p>
            <w:pPr>
              <w:spacing w:line="0" w:lineRule="atLeast"/>
              <w:rPr>
                <w:sz w:val="24"/>
              </w:rPr>
            </w:pPr>
          </w:p>
        </w:tc>
        <w:tc>
          <w:tcPr>
            <w:tcW w:w="18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63"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2179"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r>
              <w:rPr>
                <w:rFonts w:hint="default" w:ascii="Times New Roman" w:hAnsi="Times New Roman" w:eastAsia="仿宋_GB2312" w:cs="Times New Roman"/>
                <w:sz w:val="24"/>
              </w:rPr>
              <w:t>推进农村人居环境整治</w:t>
            </w:r>
          </w:p>
        </w:tc>
        <w:tc>
          <w:tcPr>
            <w:tcW w:w="3283"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推进我市农村“厕所革命”，完成43座农村公厕新建或改建，完成1652户农村无害化卫生户厕改造</w:t>
            </w:r>
            <w:r>
              <w:rPr>
                <w:rFonts w:hint="default" w:ascii="Times New Roman" w:hAnsi="Times New Roman" w:cs="Times New Roman"/>
                <w:sz w:val="24"/>
                <w:lang w:eastAsia="zh-CN"/>
              </w:rPr>
              <w:t>。</w:t>
            </w:r>
            <w:r>
              <w:rPr>
                <w:rFonts w:hint="default" w:ascii="Times New Roman" w:hAnsi="Times New Roman" w:cs="Times New Roman"/>
                <w:sz w:val="24"/>
              </w:rPr>
              <w:t>●▲</w:t>
            </w:r>
          </w:p>
        </w:tc>
        <w:tc>
          <w:tcPr>
            <w:tcW w:w="1800"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市农业</w:t>
            </w:r>
          </w:p>
          <w:p>
            <w:pPr>
              <w:spacing w:line="0" w:lineRule="atLeast"/>
              <w:jc w:val="center"/>
              <w:rPr>
                <w:rFonts w:hint="default" w:ascii="Times New Roman" w:hAnsi="Times New Roman" w:cs="Times New Roman"/>
                <w:sz w:val="24"/>
              </w:rPr>
            </w:pPr>
            <w:r>
              <w:rPr>
                <w:rFonts w:hint="default" w:ascii="Times New Roman" w:hAnsi="Times New Roman" w:eastAsia="仿宋_GB2312" w:cs="Times New Roman"/>
                <w:sz w:val="24"/>
              </w:rPr>
              <w:t>农村局</w:t>
            </w:r>
          </w:p>
        </w:tc>
        <w:tc>
          <w:tcPr>
            <w:tcW w:w="1550"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lang w:eastAsia="zh-CN"/>
              </w:rPr>
            </w:pPr>
            <w:r>
              <w:rPr>
                <w:rFonts w:hint="default" w:ascii="Times New Roman" w:hAnsi="Times New Roman" w:cs="Times New Roman"/>
                <w:sz w:val="24"/>
                <w:lang w:eastAsia="zh-CN"/>
              </w:rPr>
              <w:t>陈金</w:t>
            </w:r>
          </w:p>
        </w:tc>
        <w:tc>
          <w:tcPr>
            <w:tcW w:w="3263"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1、2020年度农村公厕新建或改造任务43座，已全部完成；</w:t>
            </w:r>
          </w:p>
          <w:p>
            <w:pPr>
              <w:spacing w:line="0" w:lineRule="atLeast"/>
              <w:rPr>
                <w:rFonts w:hint="default" w:ascii="Times New Roman" w:hAnsi="Times New Roman" w:cs="Times New Roman"/>
                <w:sz w:val="24"/>
              </w:rPr>
            </w:pPr>
            <w:r>
              <w:rPr>
                <w:rFonts w:hint="eastAsia" w:ascii="Times New Roman" w:hAnsi="Times New Roman" w:cs="Times New Roman"/>
                <w:sz w:val="24"/>
                <w:lang w:val="en-US" w:eastAsia="zh-CN"/>
              </w:rPr>
              <w:t>2、</w:t>
            </w:r>
            <w:r>
              <w:rPr>
                <w:rFonts w:hint="default" w:ascii="Times New Roman" w:hAnsi="Times New Roman" w:cs="Times New Roman"/>
                <w:sz w:val="24"/>
                <w:lang w:val="en-US" w:eastAsia="zh-CN"/>
              </w:rPr>
              <w:t>农村无害化卫生户厕改造任务已全部完成，农村无害化卫生户厕普及率100%</w:t>
            </w:r>
          </w:p>
        </w:tc>
        <w:tc>
          <w:tcPr>
            <w:tcW w:w="106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r>
              <w:rPr>
                <w:rFonts w:hint="default" w:ascii="Times New Roman" w:hAnsi="Times New Roman" w:cs="Times New Roman"/>
                <w:sz w:val="24"/>
              </w:rPr>
              <w:t>公厕</w:t>
            </w:r>
          </w:p>
          <w:p>
            <w:pPr>
              <w:spacing w:line="0" w:lineRule="atLeast"/>
              <w:jc w:val="center"/>
              <w:rPr>
                <w:rFonts w:hint="default" w:ascii="Times New Roman" w:hAnsi="Times New Roman" w:eastAsia="仿宋_GB2312" w:cs="Times New Roman"/>
                <w:spacing w:val="-20"/>
                <w:sz w:val="24"/>
                <w:lang w:eastAsia="zh-CN"/>
              </w:rPr>
            </w:pPr>
            <w:r>
              <w:rPr>
                <w:rFonts w:hint="default" w:ascii="Times New Roman" w:hAnsi="Times New Roman" w:cs="Times New Roman"/>
                <w:sz w:val="24"/>
                <w:lang w:eastAsia="zh-CN"/>
              </w:rPr>
              <w:t>完成</w:t>
            </w:r>
            <w:r>
              <w:rPr>
                <w:rFonts w:hint="eastAsia" w:ascii="Times New Roman" w:hAnsi="Times New Roman" w:cs="Times New Roman"/>
                <w:spacing w:val="-20"/>
                <w:sz w:val="24"/>
                <w:lang w:val="en-US" w:eastAsia="zh-CN"/>
              </w:rPr>
              <w:t>100</w:t>
            </w:r>
            <w:r>
              <w:rPr>
                <w:rFonts w:hint="default" w:ascii="Times New Roman" w:hAnsi="Times New Roman" w:cs="Times New Roman"/>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2179"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3283"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80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5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3263"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06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r>
              <w:rPr>
                <w:rFonts w:hint="default" w:ascii="Times New Roman" w:hAnsi="Times New Roman" w:cs="Times New Roman"/>
                <w:sz w:val="24"/>
              </w:rPr>
              <w:t>户厕</w:t>
            </w:r>
          </w:p>
          <w:p>
            <w:pPr>
              <w:spacing w:line="0" w:lineRule="atLeast"/>
              <w:jc w:val="center"/>
              <w:rPr>
                <w:rFonts w:hint="default" w:ascii="Times New Roman" w:hAnsi="Times New Roman" w:cs="Times New Roman"/>
              </w:rPr>
            </w:pPr>
            <w:r>
              <w:rPr>
                <w:rFonts w:hint="default" w:ascii="Times New Roman" w:hAnsi="Times New Roman" w:cs="Times New Roman"/>
                <w:sz w:val="24"/>
                <w:lang w:eastAsia="zh-CN"/>
              </w:rPr>
              <w:t>完成</w:t>
            </w:r>
            <w:r>
              <w:rPr>
                <w:rFonts w:hint="eastAsia" w:ascii="Times New Roman" w:hAnsi="Times New Roman" w:cs="Times New Roman"/>
                <w:spacing w:val="-20"/>
                <w:sz w:val="24"/>
                <w:lang w:val="en-US" w:eastAsia="zh-CN"/>
              </w:rPr>
              <w:t>100</w:t>
            </w:r>
            <w:r>
              <w:rPr>
                <w:rFonts w:hint="default" w:ascii="Times New Roman" w:hAnsi="Times New Roman" w:cs="Times New Roman"/>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2179"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提升教育服务水平</w:t>
            </w:r>
          </w:p>
        </w:tc>
        <w:tc>
          <w:tcPr>
            <w:tcW w:w="3283" w:type="dxa"/>
            <w:tcBorders>
              <w:left w:val="single" w:color="auto" w:sz="4" w:space="0"/>
              <w:right w:val="single" w:color="auto" w:sz="4" w:space="0"/>
            </w:tcBorders>
            <w:noWrap w:val="0"/>
            <w:vAlign w:val="center"/>
          </w:tcPr>
          <w:p>
            <w:pPr>
              <w:numPr>
                <w:ilvl w:val="0"/>
                <w:numId w:val="0"/>
              </w:numPr>
              <w:spacing w:line="0" w:lineRule="atLeast"/>
              <w:jc w:val="left"/>
              <w:rPr>
                <w:rFonts w:hAnsi="仿宋_GB2312" w:eastAsia="仿宋_GB2312"/>
                <w:sz w:val="24"/>
              </w:rPr>
            </w:pPr>
            <w:r>
              <w:rPr>
                <w:rFonts w:hAnsi="仿宋_GB2312" w:eastAsia="仿宋_GB2312"/>
                <w:sz w:val="24"/>
              </w:rPr>
              <w:t>学前教育生均经费拨款标准达到</w:t>
            </w:r>
            <w:r>
              <w:rPr>
                <w:rFonts w:eastAsia="仿宋_GB2312"/>
                <w:sz w:val="24"/>
              </w:rPr>
              <w:t>400</w:t>
            </w:r>
            <w:r>
              <w:rPr>
                <w:rFonts w:hAnsi="仿宋_GB2312" w:eastAsia="仿宋_GB2312"/>
                <w:sz w:val="24"/>
              </w:rPr>
              <w:t>元</w:t>
            </w:r>
            <w:r>
              <w:rPr>
                <w:rFonts w:eastAsia="仿宋_GB2312"/>
                <w:sz w:val="24"/>
              </w:rPr>
              <w:t>/</w:t>
            </w:r>
            <w:r>
              <w:rPr>
                <w:rFonts w:hAnsi="仿宋_GB2312" w:eastAsia="仿宋_GB2312"/>
                <w:sz w:val="24"/>
              </w:rPr>
              <w:t>生</w:t>
            </w:r>
            <w:r>
              <w:rPr>
                <w:rFonts w:eastAsia="仿宋_GB2312"/>
                <w:sz w:val="24"/>
              </w:rPr>
              <w:t>/</w:t>
            </w:r>
            <w:r>
              <w:rPr>
                <w:rFonts w:hAnsi="仿宋_GB2312" w:eastAsia="仿宋_GB2312"/>
                <w:sz w:val="24"/>
              </w:rPr>
              <w:t>年。</w:t>
            </w:r>
            <w:r>
              <w:rPr>
                <w:rFonts w:hint="default" w:ascii="Times New Roman" w:hAnsi="Times New Roman" w:cs="Times New Roman"/>
                <w:sz w:val="24"/>
              </w:rPr>
              <w:t>●</w:t>
            </w:r>
          </w:p>
        </w:tc>
        <w:tc>
          <w:tcPr>
            <w:tcW w:w="1800" w:type="dxa"/>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市教育局</w:t>
            </w:r>
          </w:p>
        </w:tc>
        <w:tc>
          <w:tcPr>
            <w:tcW w:w="1550"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3263" w:type="dxa"/>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int="eastAsia"/>
                <w:sz w:val="24"/>
                <w:lang w:eastAsia="zh-CN"/>
              </w:rPr>
              <w:t>已拨付2020年春季学前教育生均公用经费共27696人553.92万元、秋季学前教育生均公用经费共31328人626.56万元。</w:t>
            </w:r>
          </w:p>
        </w:tc>
        <w:tc>
          <w:tcPr>
            <w:tcW w:w="1065"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3266"/>
        <w:gridCol w:w="1750"/>
        <w:gridCol w:w="1584"/>
        <w:gridCol w:w="308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08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065" w:type="dxa"/>
            <w:vMerge w:val="continue"/>
            <w:tcBorders>
              <w:left w:val="single" w:color="auto" w:sz="4" w:space="0"/>
              <w:right w:val="single" w:color="auto" w:sz="4" w:space="0"/>
            </w:tcBorders>
            <w:noWrap w:val="0"/>
            <w:vAlign w:val="center"/>
          </w:tcPr>
          <w:p>
            <w:pPr>
              <w:spacing w:line="0" w:lineRule="atLeast"/>
              <w:rPr>
                <w:sz w:val="24"/>
              </w:rPr>
            </w:pPr>
          </w:p>
        </w:tc>
        <w:tc>
          <w:tcPr>
            <w:tcW w:w="3266" w:type="dxa"/>
            <w:vMerge w:val="continue"/>
            <w:tcBorders>
              <w:left w:val="single" w:color="auto" w:sz="4" w:space="0"/>
              <w:right w:val="single" w:color="auto" w:sz="4" w:space="0"/>
            </w:tcBorders>
            <w:noWrap w:val="0"/>
            <w:vAlign w:val="center"/>
          </w:tcPr>
          <w:p>
            <w:pPr>
              <w:spacing w:line="0" w:lineRule="atLeast"/>
              <w:rPr>
                <w:sz w:val="24"/>
              </w:rPr>
            </w:pPr>
          </w:p>
        </w:tc>
        <w:tc>
          <w:tcPr>
            <w:tcW w:w="17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84"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082"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065"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提升教育服务水平</w:t>
            </w:r>
          </w:p>
        </w:tc>
        <w:tc>
          <w:tcPr>
            <w:tcW w:w="3266" w:type="dxa"/>
            <w:tcBorders>
              <w:left w:val="single" w:color="auto" w:sz="4" w:space="0"/>
              <w:right w:val="single" w:color="auto" w:sz="4" w:space="0"/>
            </w:tcBorders>
            <w:noWrap w:val="0"/>
            <w:vAlign w:val="center"/>
          </w:tcPr>
          <w:p>
            <w:pPr>
              <w:spacing w:line="0" w:lineRule="atLeast"/>
              <w:jc w:val="left"/>
              <w:rPr>
                <w:sz w:val="24"/>
              </w:rPr>
            </w:pPr>
            <w:r>
              <w:rPr>
                <w:rFonts w:hAnsi="仿宋_GB2312" w:eastAsia="仿宋_GB2312"/>
                <w:sz w:val="24"/>
              </w:rPr>
              <w:t>公办普通高中生均公用经费拨款达到</w:t>
            </w:r>
            <w:r>
              <w:rPr>
                <w:rFonts w:eastAsia="仿宋_GB2312"/>
                <w:sz w:val="24"/>
              </w:rPr>
              <w:t>1000</w:t>
            </w:r>
            <w:r>
              <w:rPr>
                <w:rFonts w:hAnsi="仿宋_GB2312" w:eastAsia="仿宋_GB2312"/>
                <w:sz w:val="24"/>
              </w:rPr>
              <w:t>元</w:t>
            </w:r>
            <w:r>
              <w:rPr>
                <w:rFonts w:eastAsia="仿宋_GB2312"/>
                <w:sz w:val="24"/>
              </w:rPr>
              <w:t>/</w:t>
            </w:r>
            <w:r>
              <w:rPr>
                <w:rFonts w:hAnsi="仿宋_GB2312" w:eastAsia="仿宋_GB2312"/>
                <w:sz w:val="24"/>
              </w:rPr>
              <w:t>生</w:t>
            </w:r>
            <w:r>
              <w:rPr>
                <w:rFonts w:eastAsia="仿宋_GB2312"/>
                <w:sz w:val="24"/>
              </w:rPr>
              <w:t>/</w:t>
            </w:r>
            <w:r>
              <w:rPr>
                <w:rFonts w:hAnsi="仿宋_GB2312" w:eastAsia="仿宋_GB2312"/>
                <w:sz w:val="24"/>
              </w:rPr>
              <w:t>年。</w:t>
            </w:r>
            <w:r>
              <w:rPr>
                <w:rFonts w:hint="default" w:ascii="Times New Roman" w:hAnsi="Times New Roman" w:cs="Times New Roman"/>
                <w:sz w:val="24"/>
              </w:rPr>
              <w:t>●</w:t>
            </w:r>
          </w:p>
        </w:tc>
        <w:tc>
          <w:tcPr>
            <w:tcW w:w="175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584"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3082" w:type="dxa"/>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int="eastAsia"/>
                <w:sz w:val="24"/>
                <w:lang w:eastAsia="zh-CN"/>
              </w:rPr>
              <w:t>已拨付2020年春季高中生均公用经费共15332人766.6万元、秋季高中生均公用经费共17405人870.25万元。</w:t>
            </w:r>
          </w:p>
        </w:tc>
        <w:tc>
          <w:tcPr>
            <w:tcW w:w="1065"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2065"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66" w:type="dxa"/>
            <w:tcBorders>
              <w:left w:val="single" w:color="auto" w:sz="4" w:space="0"/>
              <w:right w:val="single" w:color="auto" w:sz="4" w:space="0"/>
            </w:tcBorders>
            <w:noWrap w:val="0"/>
            <w:vAlign w:val="center"/>
          </w:tcPr>
          <w:p>
            <w:pPr>
              <w:spacing w:line="0" w:lineRule="atLeast"/>
              <w:rPr>
                <w:sz w:val="24"/>
                <w:highlight w:val="none"/>
              </w:rPr>
            </w:pPr>
            <w:r>
              <w:rPr>
                <w:rFonts w:hAnsi="仿宋_GB2312" w:eastAsia="仿宋_GB2312"/>
                <w:sz w:val="24"/>
                <w:highlight w:val="none"/>
              </w:rPr>
              <w:t>实施阳春市第七小学项目建设（即阳春市河北小学建设项目</w:t>
            </w:r>
            <w:r>
              <w:rPr>
                <w:rFonts w:hint="eastAsia" w:hAnsi="仿宋_GB2312"/>
                <w:sz w:val="24"/>
                <w:highlight w:val="none"/>
                <w:lang w:eastAsia="zh-CN"/>
              </w:rPr>
              <w:t>，总投资6000万元，中标价5284万元，2020年计划投资2500万元）</w:t>
            </w:r>
            <w:r>
              <w:rPr>
                <w:rFonts w:hAnsi="仿宋_GB2312" w:eastAsia="仿宋_GB2312"/>
                <w:sz w:val="24"/>
                <w:highlight w:val="none"/>
              </w:rPr>
              <w:t>。</w:t>
            </w:r>
            <w:r>
              <w:rPr>
                <w:rFonts w:hint="default" w:ascii="Times New Roman" w:hAnsi="Times New Roman" w:cs="Times New Roman"/>
                <w:sz w:val="24"/>
                <w:highlight w:val="none"/>
              </w:rPr>
              <w:t>●</w:t>
            </w:r>
            <w:r>
              <w:rPr>
                <w:rFonts w:hint="eastAsia"/>
                <w:sz w:val="24"/>
                <w:highlight w:val="none"/>
              </w:rPr>
              <w:t>▲</w:t>
            </w:r>
          </w:p>
        </w:tc>
        <w:tc>
          <w:tcPr>
            <w:tcW w:w="1750" w:type="dxa"/>
            <w:tcBorders>
              <w:left w:val="single" w:color="auto" w:sz="4" w:space="0"/>
              <w:right w:val="single" w:color="auto" w:sz="4" w:space="0"/>
            </w:tcBorders>
            <w:noWrap w:val="0"/>
            <w:vAlign w:val="center"/>
          </w:tcPr>
          <w:p>
            <w:pPr>
              <w:spacing w:line="0" w:lineRule="atLeast"/>
              <w:jc w:val="center"/>
              <w:rPr>
                <w:sz w:val="24"/>
                <w:highlight w:val="none"/>
              </w:rPr>
            </w:pPr>
            <w:r>
              <w:rPr>
                <w:rFonts w:hAnsi="仿宋_GB2312" w:eastAsia="仿宋_GB2312"/>
                <w:sz w:val="24"/>
                <w:highlight w:val="none"/>
              </w:rPr>
              <w:t>市教育局</w:t>
            </w:r>
          </w:p>
        </w:tc>
        <w:tc>
          <w:tcPr>
            <w:tcW w:w="1584" w:type="dxa"/>
            <w:tcBorders>
              <w:left w:val="single" w:color="auto" w:sz="4" w:space="0"/>
              <w:right w:val="single" w:color="auto" w:sz="4" w:space="0"/>
            </w:tcBorders>
            <w:noWrap w:val="0"/>
            <w:vAlign w:val="center"/>
          </w:tcPr>
          <w:p>
            <w:pPr>
              <w:spacing w:line="0" w:lineRule="atLeast"/>
              <w:jc w:val="center"/>
              <w:rPr>
                <w:sz w:val="24"/>
                <w:highlight w:val="none"/>
              </w:rPr>
            </w:pPr>
            <w:r>
              <w:rPr>
                <w:rFonts w:hint="eastAsia"/>
                <w:sz w:val="24"/>
                <w:highlight w:val="none"/>
                <w:lang w:eastAsia="zh-CN"/>
              </w:rPr>
              <w:t>何梅</w:t>
            </w:r>
          </w:p>
        </w:tc>
        <w:tc>
          <w:tcPr>
            <w:tcW w:w="3082" w:type="dxa"/>
            <w:tcBorders>
              <w:left w:val="single" w:color="auto" w:sz="4" w:space="0"/>
              <w:right w:val="single" w:color="auto" w:sz="4" w:space="0"/>
            </w:tcBorders>
            <w:noWrap w:val="0"/>
            <w:vAlign w:val="center"/>
          </w:tcPr>
          <w:p>
            <w:pPr>
              <w:spacing w:line="0" w:lineRule="atLeast"/>
              <w:rPr>
                <w:rFonts w:hint="eastAsia"/>
                <w:sz w:val="24"/>
                <w:highlight w:val="none"/>
                <w:lang w:eastAsia="zh-CN"/>
              </w:rPr>
            </w:pPr>
            <w:r>
              <w:rPr>
                <w:rFonts w:hint="eastAsia"/>
                <w:sz w:val="24"/>
                <w:highlight w:val="none"/>
                <w:lang w:eastAsia="zh-CN"/>
              </w:rPr>
              <w:t>教学楼已完成主体工程，体育馆已完成一层柱工程及部分相关附属工程。</w:t>
            </w:r>
          </w:p>
          <w:p>
            <w:pPr>
              <w:spacing w:line="0" w:lineRule="atLeast"/>
              <w:rPr>
                <w:rFonts w:hint="eastAsia" w:eastAsia="仿宋_GB2312"/>
                <w:sz w:val="24"/>
                <w:highlight w:val="none"/>
                <w:lang w:eastAsia="zh-CN"/>
              </w:rPr>
            </w:pPr>
            <w:r>
              <w:rPr>
                <w:rFonts w:hint="eastAsia"/>
                <w:sz w:val="24"/>
                <w:highlight w:val="none"/>
                <w:lang w:val="en-US" w:eastAsia="zh-CN"/>
              </w:rPr>
              <w:t>1至12月</w:t>
            </w:r>
            <w:r>
              <w:rPr>
                <w:rFonts w:hint="eastAsia"/>
                <w:sz w:val="24"/>
                <w:highlight w:val="none"/>
              </w:rPr>
              <w:t>完成年度计划投资</w:t>
            </w:r>
            <w:r>
              <w:rPr>
                <w:rFonts w:hint="eastAsia"/>
                <w:sz w:val="24"/>
                <w:highlight w:val="none"/>
                <w:lang w:eastAsia="zh-CN"/>
              </w:rPr>
              <w:t>。</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highlight w:val="none"/>
                <w:lang w:val="en-US" w:eastAsia="zh-CN"/>
              </w:rPr>
            </w:pPr>
            <w:r>
              <w:rPr>
                <w:rFonts w:hint="eastAsia"/>
                <w:spacing w:val="-20"/>
                <w:sz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2065"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266"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完成八甲镇中心小学迁建</w:t>
            </w:r>
            <w:r>
              <w:rPr>
                <w:rFonts w:hint="eastAsia" w:hAnsi="仿宋_GB2312"/>
                <w:sz w:val="24"/>
                <w:lang w:eastAsia="zh-CN"/>
              </w:rPr>
              <w:t>（项目总投资3945万元，2020年计划投资3156万元）</w:t>
            </w:r>
            <w:r>
              <w:rPr>
                <w:rFonts w:hAnsi="仿宋_GB2312" w:eastAsia="仿宋_GB2312"/>
                <w:sz w:val="24"/>
              </w:rPr>
              <w:t>。</w:t>
            </w:r>
            <w:r>
              <w:rPr>
                <w:rFonts w:hint="default" w:ascii="Times New Roman" w:hAnsi="Times New Roman" w:cs="Times New Roman"/>
                <w:sz w:val="24"/>
              </w:rPr>
              <w:t>●</w:t>
            </w:r>
            <w:r>
              <w:rPr>
                <w:rFonts w:hint="eastAsia"/>
                <w:sz w:val="24"/>
              </w:rPr>
              <w:t>▲</w:t>
            </w:r>
          </w:p>
        </w:tc>
        <w:tc>
          <w:tcPr>
            <w:tcW w:w="175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584"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3082" w:type="dxa"/>
            <w:tcBorders>
              <w:left w:val="single" w:color="auto" w:sz="4" w:space="0"/>
              <w:right w:val="single" w:color="auto" w:sz="4" w:space="0"/>
            </w:tcBorders>
            <w:noWrap w:val="0"/>
            <w:vAlign w:val="center"/>
          </w:tcPr>
          <w:p>
            <w:pPr>
              <w:spacing w:line="0" w:lineRule="atLeast"/>
              <w:jc w:val="center"/>
              <w:rPr>
                <w:rFonts w:hint="eastAsia" w:eastAsia="仿宋_GB2312"/>
                <w:sz w:val="24"/>
                <w:lang w:val="en-US" w:eastAsia="zh-CN"/>
              </w:rPr>
            </w:pPr>
            <w:r>
              <w:rPr>
                <w:rFonts w:hint="eastAsia"/>
                <w:sz w:val="24"/>
                <w:lang w:val="en-US" w:eastAsia="zh-CN"/>
              </w:rPr>
              <w:t>项目</w:t>
            </w:r>
            <w:r>
              <w:rPr>
                <w:sz w:val="24"/>
              </w:rPr>
              <w:t>已完工</w:t>
            </w:r>
            <w:r>
              <w:rPr>
                <w:rFonts w:hint="eastAsia"/>
                <w:sz w:val="24"/>
                <w:lang w:eastAsia="zh-CN"/>
              </w:rPr>
              <w:t>。</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bl>
    <w:p>
      <w:pPr>
        <w:spacing w:line="0" w:lineRule="atLeast"/>
        <w:ind w:firstLine="723" w:firstLineChars="300"/>
        <w:rPr>
          <w:rFonts w:hint="eastAsia"/>
          <w:b/>
          <w:sz w:val="24"/>
        </w:rPr>
      </w:pPr>
    </w:p>
    <w:p>
      <w:pPr>
        <w:spacing w:line="0" w:lineRule="atLeast"/>
        <w:ind w:firstLine="723" w:firstLineChars="3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3283"/>
        <w:gridCol w:w="1767"/>
        <w:gridCol w:w="1583"/>
        <w:gridCol w:w="327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5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7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56" w:type="dxa"/>
            <w:vMerge w:val="continue"/>
            <w:tcBorders>
              <w:left w:val="single" w:color="auto" w:sz="4" w:space="0"/>
              <w:right w:val="single" w:color="auto" w:sz="4" w:space="0"/>
            </w:tcBorders>
            <w:noWrap w:val="0"/>
            <w:vAlign w:val="center"/>
          </w:tcPr>
          <w:p>
            <w:pPr>
              <w:spacing w:line="0" w:lineRule="atLeast"/>
              <w:rPr>
                <w:sz w:val="24"/>
              </w:rPr>
            </w:pPr>
          </w:p>
        </w:tc>
        <w:tc>
          <w:tcPr>
            <w:tcW w:w="3283"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74"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2256"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提升教育服务水平</w:t>
            </w:r>
          </w:p>
        </w:tc>
        <w:tc>
          <w:tcPr>
            <w:tcW w:w="328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建成市启智学校艺术楼。</w:t>
            </w:r>
            <w:r>
              <w:rPr>
                <w:rFonts w:hint="default" w:ascii="Times New Roman" w:hAnsi="Times New Roman" w:cs="Times New Roman"/>
                <w:sz w:val="24"/>
              </w:rPr>
              <w:t>●</w:t>
            </w:r>
          </w:p>
        </w:tc>
        <w:tc>
          <w:tcPr>
            <w:tcW w:w="176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583"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3274"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val="en-US" w:eastAsia="zh-CN"/>
              </w:rPr>
              <w:t>项目</w:t>
            </w:r>
            <w:r>
              <w:rPr>
                <w:sz w:val="24"/>
              </w:rPr>
              <w:t>已完工。</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2256"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加强食品安全监督检测</w:t>
            </w:r>
          </w:p>
        </w:tc>
        <w:tc>
          <w:tcPr>
            <w:tcW w:w="3283"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加强食品质量安全监督管理，食品抽检量达到</w:t>
            </w:r>
            <w:r>
              <w:rPr>
                <w:rFonts w:eastAsia="仿宋_GB2312"/>
                <w:sz w:val="24"/>
              </w:rPr>
              <w:t>5</w:t>
            </w:r>
            <w:r>
              <w:rPr>
                <w:rFonts w:hAnsi="仿宋_GB2312" w:eastAsia="仿宋_GB2312"/>
                <w:sz w:val="24"/>
              </w:rPr>
              <w:t>批次</w:t>
            </w:r>
            <w:r>
              <w:rPr>
                <w:rFonts w:eastAsia="仿宋_GB2312"/>
                <w:sz w:val="24"/>
              </w:rPr>
              <w:t>/</w:t>
            </w:r>
            <w:r>
              <w:rPr>
                <w:rFonts w:hAnsi="仿宋_GB2312" w:eastAsia="仿宋_GB2312"/>
                <w:sz w:val="24"/>
              </w:rPr>
              <w:t>千人</w:t>
            </w:r>
            <w:r>
              <w:rPr>
                <w:rFonts w:hint="eastAsia" w:hAnsi="仿宋_GB2312"/>
                <w:sz w:val="24"/>
                <w:lang w:eastAsia="zh-CN"/>
              </w:rPr>
              <w:t>（</w:t>
            </w:r>
            <w:r>
              <w:rPr>
                <w:sz w:val="24"/>
              </w:rPr>
              <w:t>2020年度阳春市食品抽检总任务为1800批次</w:t>
            </w:r>
            <w:r>
              <w:rPr>
                <w:rFonts w:hint="eastAsia" w:hAnsi="仿宋_GB2312"/>
                <w:sz w:val="24"/>
                <w:lang w:eastAsia="zh-CN"/>
              </w:rPr>
              <w:t>）</w:t>
            </w:r>
            <w:r>
              <w:rPr>
                <w:rFonts w:hAnsi="仿宋_GB2312" w:eastAsia="仿宋_GB2312"/>
                <w:sz w:val="24"/>
              </w:rPr>
              <w:t>。</w:t>
            </w:r>
            <w:r>
              <w:rPr>
                <w:rFonts w:hint="default" w:ascii="Times New Roman" w:hAnsi="Times New Roman" w:cs="Times New Roman"/>
                <w:sz w:val="24"/>
              </w:rPr>
              <w:t>●</w:t>
            </w:r>
            <w:r>
              <w:rPr>
                <w:rFonts w:hint="eastAsia"/>
                <w:sz w:val="24"/>
              </w:rPr>
              <w:t>▲</w:t>
            </w:r>
          </w:p>
        </w:tc>
        <w:tc>
          <w:tcPr>
            <w:tcW w:w="1767" w:type="dxa"/>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市市场监督管理局</w:t>
            </w:r>
          </w:p>
        </w:tc>
        <w:tc>
          <w:tcPr>
            <w:tcW w:w="158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3274"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截止</w:t>
            </w:r>
            <w:r>
              <w:rPr>
                <w:rFonts w:hint="eastAsia"/>
                <w:sz w:val="24"/>
                <w:lang w:val="en-US" w:eastAsia="zh-CN"/>
              </w:rPr>
              <w:t>12</w:t>
            </w:r>
            <w:r>
              <w:rPr>
                <w:sz w:val="24"/>
              </w:rPr>
              <w:t>月</w:t>
            </w:r>
            <w:r>
              <w:rPr>
                <w:rFonts w:hint="eastAsia"/>
                <w:sz w:val="24"/>
                <w:lang w:eastAsia="zh-CN"/>
              </w:rPr>
              <w:t>底</w:t>
            </w:r>
            <w:r>
              <w:rPr>
                <w:sz w:val="24"/>
              </w:rPr>
              <w:t>，已完成抽检</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803</w:t>
            </w:r>
            <w:r>
              <w:rPr>
                <w:rFonts w:hint="eastAsia" w:ascii="仿宋" w:hAnsi="仿宋" w:eastAsia="仿宋" w:cs="仿宋"/>
                <w:color w:val="auto"/>
                <w:sz w:val="24"/>
                <w:szCs w:val="24"/>
              </w:rPr>
              <w:t>0</w:t>
            </w:r>
            <w:r>
              <w:rPr>
                <w:sz w:val="24"/>
              </w:rPr>
              <w:t>批次，其中不合格</w:t>
            </w:r>
            <w:r>
              <w:rPr>
                <w:rFonts w:hint="eastAsia"/>
                <w:sz w:val="24"/>
                <w:lang w:val="en-US" w:eastAsia="zh-CN"/>
              </w:rPr>
              <w:t>38</w:t>
            </w:r>
            <w:r>
              <w:rPr>
                <w:sz w:val="24"/>
              </w:rPr>
              <w:t>批次。</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bl>
    <w:p>
      <w:pPr>
        <w:spacing w:line="0" w:lineRule="atLeast"/>
        <w:rPr>
          <w:rFonts w:hint="eastAsia"/>
          <w:sz w:val="24"/>
        </w:rPr>
      </w:pPr>
    </w:p>
    <w:p>
      <w:pPr>
        <w:spacing w:line="0" w:lineRule="atLeast"/>
        <w:ind w:firstLine="482" w:firstLineChars="2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3267"/>
        <w:gridCol w:w="1750"/>
        <w:gridCol w:w="1616"/>
        <w:gridCol w:w="328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8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7" w:type="dxa"/>
            <w:vMerge w:val="continue"/>
            <w:tcBorders>
              <w:left w:val="single" w:color="auto" w:sz="4" w:space="0"/>
              <w:right w:val="single" w:color="auto" w:sz="4" w:space="0"/>
            </w:tcBorders>
            <w:noWrap w:val="0"/>
            <w:vAlign w:val="center"/>
          </w:tcPr>
          <w:p>
            <w:pPr>
              <w:spacing w:line="0" w:lineRule="atLeast"/>
              <w:rPr>
                <w:sz w:val="24"/>
              </w:rPr>
            </w:pPr>
          </w:p>
        </w:tc>
        <w:tc>
          <w:tcPr>
            <w:tcW w:w="3267" w:type="dxa"/>
            <w:vMerge w:val="continue"/>
            <w:tcBorders>
              <w:left w:val="single" w:color="auto" w:sz="4" w:space="0"/>
              <w:right w:val="single" w:color="auto" w:sz="4" w:space="0"/>
            </w:tcBorders>
            <w:noWrap w:val="0"/>
            <w:vAlign w:val="center"/>
          </w:tcPr>
          <w:p>
            <w:pPr>
              <w:spacing w:line="0" w:lineRule="atLeast"/>
              <w:rPr>
                <w:sz w:val="24"/>
              </w:rPr>
            </w:pPr>
          </w:p>
        </w:tc>
        <w:tc>
          <w:tcPr>
            <w:tcW w:w="17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85"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1" w:hRule="atLeast"/>
          <w:jc w:val="center"/>
        </w:trPr>
        <w:tc>
          <w:tcPr>
            <w:tcW w:w="2267"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改善农村生产生活条件</w:t>
            </w:r>
          </w:p>
        </w:tc>
        <w:tc>
          <w:tcPr>
            <w:tcW w:w="3267" w:type="dxa"/>
            <w:tcBorders>
              <w:left w:val="single" w:color="auto" w:sz="4" w:space="0"/>
              <w:right w:val="single" w:color="auto" w:sz="4" w:space="0"/>
            </w:tcBorders>
            <w:noWrap w:val="0"/>
            <w:vAlign w:val="center"/>
          </w:tcPr>
          <w:p>
            <w:pPr>
              <w:spacing w:line="0" w:lineRule="atLeast"/>
              <w:rPr>
                <w:rFonts w:hint="eastAsia" w:eastAsia="仿宋_GB2312"/>
                <w:sz w:val="24"/>
                <w:lang w:val="en-US" w:eastAsia="zh-CN"/>
              </w:rPr>
            </w:pPr>
            <w:r>
              <w:rPr>
                <w:rFonts w:hAnsi="仿宋_GB2312" w:eastAsia="仿宋_GB2312"/>
                <w:sz w:val="24"/>
              </w:rPr>
              <w:t>实施阳春市村村通自来水二期工程</w:t>
            </w:r>
            <w:r>
              <w:rPr>
                <w:rFonts w:eastAsia="仿宋_GB2312"/>
                <w:sz w:val="24"/>
              </w:rPr>
              <w:t>PPP</w:t>
            </w:r>
            <w:r>
              <w:rPr>
                <w:rFonts w:hAnsi="仿宋_GB2312" w:eastAsia="仿宋_GB2312"/>
                <w:sz w:val="24"/>
              </w:rPr>
              <w:t>项目。</w:t>
            </w:r>
            <w:r>
              <w:rPr>
                <w:rFonts w:hint="eastAsia"/>
                <w:b/>
                <w:sz w:val="24"/>
              </w:rPr>
              <w:t xml:space="preserve"> </w:t>
            </w:r>
            <w:r>
              <w:rPr>
                <w:rFonts w:hint="default"/>
                <w:sz w:val="24"/>
                <w:lang w:val="en-US"/>
              </w:rPr>
              <w:t>(总投资11112.45万元，铺设供水管网246.27公里</w:t>
            </w:r>
            <w:r>
              <w:rPr>
                <w:rFonts w:hint="eastAsia"/>
                <w:sz w:val="24"/>
                <w:lang w:val="en-US" w:eastAsia="zh-CN"/>
              </w:rPr>
              <w:t>。</w:t>
            </w:r>
            <w:r>
              <w:rPr>
                <w:rFonts w:hint="default"/>
                <w:sz w:val="24"/>
                <w:lang w:val="en-US"/>
              </w:rPr>
              <w:t>2018年度完成投资2853万元，铺设供水管网110千米；2019年项目</w:t>
            </w:r>
            <w:r>
              <w:rPr>
                <w:rFonts w:hint="eastAsia"/>
                <w:sz w:val="24"/>
                <w:lang w:val="en-US" w:eastAsia="zh-CN"/>
              </w:rPr>
              <w:t>因</w:t>
            </w:r>
            <w:r>
              <w:rPr>
                <w:rFonts w:hint="default"/>
                <w:sz w:val="24"/>
                <w:lang w:val="en-US"/>
              </w:rPr>
              <w:t>设计调整</w:t>
            </w:r>
            <w:r>
              <w:rPr>
                <w:rFonts w:hint="eastAsia"/>
                <w:sz w:val="24"/>
                <w:lang w:val="en-US" w:eastAsia="zh-CN"/>
              </w:rPr>
              <w:t>，</w:t>
            </w:r>
            <w:r>
              <w:rPr>
                <w:rFonts w:hint="default"/>
                <w:sz w:val="24"/>
                <w:lang w:val="en-US"/>
              </w:rPr>
              <w:t>处于停工状态</w:t>
            </w:r>
            <w:r>
              <w:rPr>
                <w:rFonts w:hint="eastAsia"/>
                <w:sz w:val="24"/>
                <w:lang w:val="en-US" w:eastAsia="zh-CN"/>
              </w:rPr>
              <w:t>。2020年度计划投资8259.45万元。）</w:t>
            </w:r>
            <w:r>
              <w:rPr>
                <w:rFonts w:hint="default" w:ascii="Times New Roman" w:hAnsi="Times New Roman" w:cs="Times New Roman"/>
                <w:sz w:val="24"/>
              </w:rPr>
              <w:t>●</w:t>
            </w:r>
          </w:p>
        </w:tc>
        <w:tc>
          <w:tcPr>
            <w:tcW w:w="175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616"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3285" w:type="dxa"/>
            <w:tcBorders>
              <w:left w:val="single" w:color="auto" w:sz="4" w:space="0"/>
              <w:right w:val="single" w:color="auto" w:sz="4" w:space="0"/>
            </w:tcBorders>
            <w:noWrap w:val="0"/>
            <w:vAlign w:val="center"/>
          </w:tcPr>
          <w:p>
            <w:pPr>
              <w:spacing w:line="0" w:lineRule="atLeast"/>
              <w:rPr>
                <w:rFonts w:hint="eastAsia"/>
                <w:sz w:val="24"/>
                <w:lang w:val="en-US" w:eastAsia="zh-CN"/>
              </w:rPr>
            </w:pPr>
            <w:r>
              <w:rPr>
                <w:rFonts w:hint="eastAsia"/>
                <w:sz w:val="24"/>
                <w:lang w:val="en-US" w:eastAsia="zh-CN"/>
              </w:rPr>
              <w:t>项目已完工。</w:t>
            </w:r>
          </w:p>
          <w:p>
            <w:pPr>
              <w:spacing w:line="0" w:lineRule="atLeast"/>
              <w:rPr>
                <w:rFonts w:hint="default"/>
                <w:sz w:val="24"/>
                <w:lang w:val="en-US" w:eastAsia="zh-CN"/>
              </w:rPr>
            </w:pPr>
            <w:r>
              <w:rPr>
                <w:rFonts w:hint="eastAsia"/>
                <w:sz w:val="24"/>
                <w:lang w:val="en-US" w:eastAsia="zh-CN"/>
              </w:rPr>
              <w:t>1至12月完成年度计划投资。</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100</w:t>
            </w:r>
            <w:r>
              <w:rPr>
                <w:rFonts w:hint="eastAsia"/>
                <w:spacing w:val="-20"/>
                <w:sz w:val="24"/>
              </w:rPr>
              <w:t>%</w:t>
            </w:r>
          </w:p>
        </w:tc>
      </w:tr>
    </w:tbl>
    <w:p>
      <w:pPr>
        <w:spacing w:line="0" w:lineRule="atLeast"/>
        <w:rPr>
          <w:rFonts w:hint="eastAsia"/>
          <w:b/>
          <w:sz w:val="24"/>
        </w:rPr>
      </w:pPr>
    </w:p>
    <w:p>
      <w:pPr>
        <w:spacing w:line="0" w:lineRule="atLeast"/>
        <w:ind w:firstLine="482" w:firstLineChars="2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tbl>
      <w:tblPr>
        <w:tblStyle w:val="5"/>
        <w:tblW w:w="13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267"/>
        <w:gridCol w:w="1767"/>
        <w:gridCol w:w="1633"/>
        <w:gridCol w:w="324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5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4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516" w:type="dxa"/>
            <w:vMerge w:val="continue"/>
            <w:tcBorders>
              <w:left w:val="single" w:color="auto" w:sz="4" w:space="0"/>
              <w:right w:val="single" w:color="auto" w:sz="4" w:space="0"/>
            </w:tcBorders>
            <w:noWrap w:val="0"/>
            <w:vAlign w:val="center"/>
          </w:tcPr>
          <w:p>
            <w:pPr>
              <w:spacing w:line="0" w:lineRule="atLeast"/>
              <w:rPr>
                <w:sz w:val="24"/>
              </w:rPr>
            </w:pPr>
          </w:p>
        </w:tc>
        <w:tc>
          <w:tcPr>
            <w:tcW w:w="3267"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45"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jc w:val="center"/>
        </w:trPr>
        <w:tc>
          <w:tcPr>
            <w:tcW w:w="2516"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3267"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767"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633"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3245" w:type="dxa"/>
            <w:tcBorders>
              <w:left w:val="single" w:color="auto" w:sz="4" w:space="0"/>
              <w:right w:val="single" w:color="auto" w:sz="4" w:space="0"/>
            </w:tcBorders>
            <w:noWrap w:val="0"/>
            <w:vAlign w:val="center"/>
          </w:tcPr>
          <w:p>
            <w:pPr>
              <w:numPr>
                <w:ilvl w:val="0"/>
                <w:numId w:val="1"/>
              </w:numPr>
              <w:spacing w:line="0" w:lineRule="atLeast"/>
              <w:rPr>
                <w:rFonts w:hint="default"/>
                <w:sz w:val="24"/>
                <w:lang w:val="en-US" w:eastAsia="zh-CN"/>
              </w:rPr>
            </w:pPr>
            <w:r>
              <w:rPr>
                <w:rFonts w:hint="eastAsia"/>
                <w:sz w:val="24"/>
                <w:lang w:val="en-US" w:eastAsia="zh-CN"/>
              </w:rPr>
              <w:t>那乌河工程已完工。</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2516" w:type="dxa"/>
            <w:vMerge w:val="continue"/>
            <w:tcBorders>
              <w:left w:val="single" w:color="auto" w:sz="4" w:space="0"/>
              <w:right w:val="single" w:color="auto" w:sz="4" w:space="0"/>
            </w:tcBorders>
            <w:noWrap w:val="0"/>
            <w:vAlign w:val="center"/>
          </w:tcPr>
          <w:p>
            <w:pPr>
              <w:spacing w:line="0" w:lineRule="atLeast"/>
              <w:jc w:val="center"/>
            </w:pPr>
          </w:p>
        </w:tc>
        <w:tc>
          <w:tcPr>
            <w:tcW w:w="3267"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1633" w:type="dxa"/>
            <w:vMerge w:val="continue"/>
            <w:tcBorders>
              <w:left w:val="single" w:color="auto" w:sz="4" w:space="0"/>
              <w:right w:val="single" w:color="auto" w:sz="4" w:space="0"/>
            </w:tcBorders>
            <w:noWrap w:val="0"/>
            <w:vAlign w:val="center"/>
          </w:tcPr>
          <w:p>
            <w:pPr>
              <w:spacing w:line="0" w:lineRule="atLeast"/>
              <w:jc w:val="center"/>
            </w:pPr>
          </w:p>
        </w:tc>
        <w:tc>
          <w:tcPr>
            <w:tcW w:w="3245"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2、漠阳江（合水镇、陂面镇段）工程已完工。</w:t>
            </w:r>
          </w:p>
        </w:tc>
        <w:tc>
          <w:tcPr>
            <w:tcW w:w="1065" w:type="dxa"/>
            <w:tcBorders>
              <w:left w:val="single" w:color="auto" w:sz="4" w:space="0"/>
              <w:right w:val="single" w:color="auto" w:sz="4" w:space="0"/>
            </w:tcBorders>
            <w:noWrap w:val="0"/>
            <w:vAlign w:val="center"/>
          </w:tcPr>
          <w:p>
            <w:pPr>
              <w:spacing w:line="0" w:lineRule="atLeast"/>
              <w:jc w:val="center"/>
              <w:rPr>
                <w:sz w:val="24"/>
              </w:rPr>
            </w:pPr>
            <w:r>
              <w:rPr>
                <w:rFonts w:hint="default"/>
                <w:sz w:val="24"/>
                <w:lang w:val="en-US" w:eastAsia="zh-CN"/>
              </w:rPr>
              <w:t>100</w:t>
            </w:r>
            <w:r>
              <w:rPr>
                <w:rFonts w:hint="eastAsia"/>
                <w:sz w:val="24"/>
                <w:lang w:val="en-US" w:eastAsia="zh-CN"/>
              </w:rPr>
              <w:t>%</w:t>
            </w:r>
          </w:p>
        </w:tc>
      </w:tr>
    </w:tbl>
    <w:p>
      <w:pPr>
        <w:spacing w:line="0" w:lineRule="atLeast"/>
        <w:rPr>
          <w:rFonts w:hint="eastAsia"/>
          <w:b/>
          <w:sz w:val="24"/>
        </w:rPr>
      </w:pPr>
    </w:p>
    <w:p>
      <w:pPr>
        <w:spacing w:line="0" w:lineRule="atLeast"/>
        <w:ind w:firstLine="482" w:firstLineChars="2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3283"/>
        <w:gridCol w:w="1767"/>
        <w:gridCol w:w="1633"/>
        <w:gridCol w:w="34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64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40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41" w:type="dxa"/>
            <w:vMerge w:val="continue"/>
            <w:tcBorders>
              <w:left w:val="single" w:color="auto" w:sz="4" w:space="0"/>
              <w:right w:val="single" w:color="auto" w:sz="4" w:space="0"/>
            </w:tcBorders>
            <w:noWrap w:val="0"/>
            <w:vAlign w:val="center"/>
          </w:tcPr>
          <w:p>
            <w:pPr>
              <w:spacing w:line="0" w:lineRule="atLeast"/>
              <w:rPr>
                <w:sz w:val="24"/>
              </w:rPr>
            </w:pPr>
          </w:p>
        </w:tc>
        <w:tc>
          <w:tcPr>
            <w:tcW w:w="3283"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405" w:type="dxa"/>
            <w:vMerge w:val="continue"/>
            <w:tcBorders>
              <w:left w:val="single" w:color="auto" w:sz="4" w:space="0"/>
              <w:right w:val="single" w:color="auto" w:sz="4" w:space="0"/>
            </w:tcBorders>
            <w:noWrap w:val="0"/>
            <w:vAlign w:val="center"/>
          </w:tcPr>
          <w:p>
            <w:pPr>
              <w:spacing w:line="0" w:lineRule="atLeast"/>
              <w:rPr>
                <w:sz w:val="24"/>
              </w:rPr>
            </w:pPr>
          </w:p>
        </w:tc>
        <w:tc>
          <w:tcPr>
            <w:tcW w:w="103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641"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3283"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767"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633"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3405" w:type="dxa"/>
            <w:tcBorders>
              <w:left w:val="single" w:color="auto" w:sz="4" w:space="0"/>
              <w:right w:val="single" w:color="auto" w:sz="4" w:space="0"/>
            </w:tcBorders>
            <w:noWrap w:val="0"/>
            <w:vAlign w:val="center"/>
          </w:tcPr>
          <w:p>
            <w:pPr>
              <w:spacing w:line="0" w:lineRule="atLeast"/>
              <w:jc w:val="left"/>
              <w:rPr>
                <w:rFonts w:hint="eastAsia" w:hAnsi="仿宋_GB2312" w:eastAsia="仿宋_GB2312"/>
                <w:sz w:val="24"/>
              </w:rPr>
            </w:pPr>
            <w:r>
              <w:rPr>
                <w:rFonts w:hint="eastAsia"/>
                <w:sz w:val="24"/>
                <w:lang w:val="en-US" w:eastAsia="zh-CN"/>
              </w:rPr>
              <w:t>3、</w:t>
            </w:r>
            <w:r>
              <w:rPr>
                <w:rFonts w:hAnsi="仿宋_GB2312" w:eastAsia="仿宋_GB2312"/>
                <w:sz w:val="24"/>
              </w:rPr>
              <w:t>龙门河</w:t>
            </w:r>
            <w:r>
              <w:rPr>
                <w:rFonts w:hint="eastAsia" w:hAnsi="仿宋_GB2312" w:eastAsia="仿宋_GB2312"/>
                <w:sz w:val="24"/>
              </w:rPr>
              <w:t>工程已完工。</w:t>
            </w:r>
          </w:p>
          <w:p>
            <w:pPr>
              <w:spacing w:line="0" w:lineRule="atLeast"/>
              <w:jc w:val="left"/>
              <w:rPr>
                <w:rFonts w:hint="eastAsia" w:eastAsia="仿宋_GB2312"/>
                <w:sz w:val="24"/>
                <w:lang w:val="en-US" w:eastAsia="zh-CN"/>
              </w:rPr>
            </w:pPr>
          </w:p>
        </w:tc>
        <w:tc>
          <w:tcPr>
            <w:tcW w:w="1035" w:type="dxa"/>
            <w:tcBorders>
              <w:left w:val="single" w:color="auto" w:sz="4" w:space="0"/>
              <w:right w:val="single" w:color="auto" w:sz="4" w:space="0"/>
            </w:tcBorders>
            <w:noWrap w:val="0"/>
            <w:vAlign w:val="center"/>
          </w:tcPr>
          <w:p>
            <w:pPr>
              <w:spacing w:line="0" w:lineRule="atLeast"/>
              <w:jc w:val="center"/>
              <w:rPr>
                <w:spacing w:val="-20"/>
                <w:sz w:val="21"/>
              </w:rPr>
            </w:pPr>
            <w:r>
              <w:rPr>
                <w:rFonts w:hint="eastAsia" w:hAnsi="仿宋_GB2312"/>
                <w:sz w:val="21"/>
                <w:lang w:val="en-US" w:eastAsia="zh-CN"/>
              </w:rPr>
              <w:t>100</w:t>
            </w:r>
            <w:r>
              <w:rPr>
                <w:rFonts w:hint="eastAsia" w:hAnsi="仿宋_GB2312" w:eastAsia="仿宋_GB231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2641" w:type="dxa"/>
            <w:vMerge w:val="continue"/>
            <w:tcBorders>
              <w:left w:val="single" w:color="auto" w:sz="4" w:space="0"/>
              <w:right w:val="single" w:color="auto" w:sz="4" w:space="0"/>
            </w:tcBorders>
            <w:noWrap w:val="0"/>
            <w:vAlign w:val="center"/>
          </w:tcPr>
          <w:p>
            <w:pPr>
              <w:spacing w:line="0" w:lineRule="atLeast"/>
              <w:jc w:val="center"/>
            </w:pPr>
          </w:p>
        </w:tc>
        <w:tc>
          <w:tcPr>
            <w:tcW w:w="3283"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1633" w:type="dxa"/>
            <w:vMerge w:val="continue"/>
            <w:tcBorders>
              <w:left w:val="single" w:color="auto" w:sz="4" w:space="0"/>
              <w:right w:val="single" w:color="auto" w:sz="4" w:space="0"/>
            </w:tcBorders>
            <w:noWrap w:val="0"/>
            <w:vAlign w:val="center"/>
          </w:tcPr>
          <w:p>
            <w:pPr>
              <w:spacing w:line="0" w:lineRule="atLeast"/>
              <w:jc w:val="center"/>
            </w:pPr>
          </w:p>
        </w:tc>
        <w:tc>
          <w:tcPr>
            <w:tcW w:w="3405"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eastAsia"/>
                <w:sz w:val="24"/>
                <w:lang w:val="en-US" w:eastAsia="zh-CN"/>
              </w:rPr>
              <w:t>4、庞垌河工程已完工。</w:t>
            </w:r>
          </w:p>
          <w:p>
            <w:pPr>
              <w:spacing w:line="0" w:lineRule="atLeast"/>
              <w:jc w:val="left"/>
              <w:rPr>
                <w:rFonts w:hint="eastAsia"/>
                <w:sz w:val="24"/>
                <w:lang w:val="en-US" w:eastAsia="zh-CN"/>
              </w:rPr>
            </w:pPr>
          </w:p>
        </w:tc>
        <w:tc>
          <w:tcPr>
            <w:tcW w:w="1035" w:type="dxa"/>
            <w:tcBorders>
              <w:left w:val="single" w:color="auto" w:sz="4" w:space="0"/>
              <w:right w:val="single" w:color="auto" w:sz="4" w:space="0"/>
            </w:tcBorders>
            <w:noWrap w:val="0"/>
            <w:vAlign w:val="center"/>
          </w:tcPr>
          <w:p>
            <w:pPr>
              <w:spacing w:line="0" w:lineRule="atLeast"/>
              <w:jc w:val="center"/>
              <w:rPr>
                <w:rFonts w:hint="eastAsia"/>
                <w:sz w:val="21"/>
                <w:lang w:val="en-US" w:eastAsia="zh-CN"/>
              </w:rPr>
            </w:pPr>
            <w:r>
              <w:rPr>
                <w:rFonts w:hint="eastAsia"/>
                <w:sz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jc w:val="center"/>
        </w:trPr>
        <w:tc>
          <w:tcPr>
            <w:tcW w:w="2641" w:type="dxa"/>
            <w:vMerge w:val="continue"/>
            <w:tcBorders>
              <w:left w:val="single" w:color="auto" w:sz="4" w:space="0"/>
              <w:right w:val="single" w:color="auto" w:sz="4" w:space="0"/>
            </w:tcBorders>
            <w:noWrap w:val="0"/>
            <w:vAlign w:val="center"/>
          </w:tcPr>
          <w:p>
            <w:pPr>
              <w:spacing w:line="0" w:lineRule="atLeast"/>
              <w:jc w:val="center"/>
            </w:pPr>
          </w:p>
        </w:tc>
        <w:tc>
          <w:tcPr>
            <w:tcW w:w="3283"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1633" w:type="dxa"/>
            <w:vMerge w:val="continue"/>
            <w:tcBorders>
              <w:left w:val="single" w:color="auto" w:sz="4" w:space="0"/>
              <w:right w:val="single" w:color="auto" w:sz="4" w:space="0"/>
            </w:tcBorders>
            <w:noWrap w:val="0"/>
            <w:vAlign w:val="center"/>
          </w:tcPr>
          <w:p>
            <w:pPr>
              <w:spacing w:line="0" w:lineRule="atLeast"/>
              <w:jc w:val="center"/>
            </w:pPr>
          </w:p>
        </w:tc>
        <w:tc>
          <w:tcPr>
            <w:tcW w:w="3405"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5、乔连河工程已完工。</w:t>
            </w:r>
          </w:p>
        </w:tc>
        <w:tc>
          <w:tcPr>
            <w:tcW w:w="1035" w:type="dxa"/>
            <w:tcBorders>
              <w:left w:val="single" w:color="auto" w:sz="4" w:space="0"/>
              <w:right w:val="single" w:color="auto" w:sz="4" w:space="0"/>
            </w:tcBorders>
            <w:noWrap w:val="0"/>
            <w:vAlign w:val="center"/>
          </w:tcPr>
          <w:p>
            <w:pPr>
              <w:spacing w:line="0" w:lineRule="atLeast"/>
              <w:jc w:val="center"/>
              <w:rPr>
                <w:sz w:val="21"/>
              </w:rPr>
            </w:pPr>
            <w:r>
              <w:rPr>
                <w:rFonts w:hint="default"/>
                <w:sz w:val="21"/>
                <w:lang w:val="en-US" w:eastAsia="zh-CN"/>
              </w:rPr>
              <w:t>100</w:t>
            </w:r>
            <w:r>
              <w:rPr>
                <w:rFonts w:hint="eastAsia"/>
                <w:sz w:val="21"/>
                <w:lang w:val="en-US" w:eastAsia="zh-CN"/>
              </w:rPr>
              <w:t>%</w:t>
            </w:r>
          </w:p>
        </w:tc>
      </w:tr>
    </w:tbl>
    <w:p>
      <w:pPr>
        <w:pStyle w:val="2"/>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备注: </w:t>
      </w:r>
      <w:r>
        <w:rPr>
          <w:rFonts w:hint="default" w:ascii="Times New Roman" w:hAnsi="Times New Roman" w:cs="Times New Roman"/>
          <w:sz w:val="24"/>
        </w:rPr>
        <w:t>●</w:t>
      </w:r>
      <w:r>
        <w:rPr>
          <w:rFonts w:hint="eastAsia" w:ascii="仿宋_GB2312" w:hAnsi="仿宋_GB2312" w:eastAsia="仿宋_GB2312" w:cs="仿宋_GB2312"/>
          <w:sz w:val="24"/>
          <w:szCs w:val="24"/>
        </w:rPr>
        <w:t>为阳春市民生实事，▲为阳江市民生实事</w:t>
      </w:r>
    </w:p>
    <w:p>
      <w:pPr>
        <w:pStyle w:val="2"/>
        <w:rPr>
          <w:rFonts w:hint="eastAsia" w:ascii="仿宋_GB2312" w:hAnsi="仿宋_GB2312" w:eastAsia="仿宋_GB2312" w:cs="仿宋_GB2312"/>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3300"/>
        <w:gridCol w:w="1783"/>
        <w:gridCol w:w="1600"/>
        <w:gridCol w:w="333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56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3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564" w:type="dxa"/>
            <w:vMerge w:val="continue"/>
            <w:tcBorders>
              <w:left w:val="single" w:color="auto" w:sz="4" w:space="0"/>
              <w:right w:val="single" w:color="auto" w:sz="4" w:space="0"/>
            </w:tcBorders>
            <w:noWrap w:val="0"/>
            <w:vAlign w:val="center"/>
          </w:tcPr>
          <w:p>
            <w:pPr>
              <w:spacing w:line="0" w:lineRule="atLeast"/>
              <w:rPr>
                <w:sz w:val="24"/>
              </w:rPr>
            </w:pPr>
          </w:p>
        </w:tc>
        <w:tc>
          <w:tcPr>
            <w:tcW w:w="3300" w:type="dxa"/>
            <w:vMerge w:val="continue"/>
            <w:tcBorders>
              <w:left w:val="single" w:color="auto" w:sz="4" w:space="0"/>
              <w:right w:val="single" w:color="auto" w:sz="4" w:space="0"/>
            </w:tcBorders>
            <w:noWrap w:val="0"/>
            <w:vAlign w:val="center"/>
          </w:tcPr>
          <w:p>
            <w:pPr>
              <w:spacing w:line="0" w:lineRule="atLeast"/>
              <w:rPr>
                <w:sz w:val="24"/>
              </w:rPr>
            </w:pPr>
          </w:p>
        </w:tc>
        <w:tc>
          <w:tcPr>
            <w:tcW w:w="17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33"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2564"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3300"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783"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600"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3333"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default"/>
                <w:sz w:val="24"/>
                <w:lang w:val="en-US"/>
              </w:rPr>
              <w:t>6</w:t>
            </w:r>
            <w:r>
              <w:rPr>
                <w:rFonts w:hint="eastAsia"/>
                <w:sz w:val="24"/>
                <w:lang w:val="en-US" w:eastAsia="zh-CN"/>
              </w:rPr>
              <w:t>、鲤鱼河工程已完工。</w:t>
            </w:r>
          </w:p>
          <w:p>
            <w:pPr>
              <w:spacing w:line="0" w:lineRule="atLeast"/>
              <w:jc w:val="left"/>
              <w:rPr>
                <w:rFonts w:hint="eastAsia"/>
                <w:sz w:val="24"/>
                <w:lang w:val="en-US" w:eastAsia="zh-CN"/>
              </w:rPr>
            </w:pPr>
          </w:p>
        </w:tc>
        <w:tc>
          <w:tcPr>
            <w:tcW w:w="1065" w:type="dxa"/>
            <w:tcBorders>
              <w:left w:val="single" w:color="auto" w:sz="4" w:space="0"/>
              <w:right w:val="single" w:color="auto" w:sz="4" w:space="0"/>
            </w:tcBorders>
            <w:noWrap w:val="0"/>
            <w:vAlign w:val="center"/>
          </w:tcPr>
          <w:p>
            <w:pPr>
              <w:spacing w:line="0" w:lineRule="atLeast"/>
              <w:jc w:val="center"/>
              <w:rPr>
                <w:rFonts w:hint="eastAsia"/>
                <w:sz w:val="21"/>
                <w:szCs w:val="21"/>
              </w:rPr>
            </w:pPr>
            <w:r>
              <w:rPr>
                <w:rFonts w:hint="eastAsia"/>
                <w:sz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2564" w:type="dxa"/>
            <w:vMerge w:val="continue"/>
            <w:tcBorders>
              <w:left w:val="single" w:color="auto" w:sz="4" w:space="0"/>
              <w:right w:val="single" w:color="auto" w:sz="4" w:space="0"/>
            </w:tcBorders>
            <w:noWrap w:val="0"/>
            <w:vAlign w:val="center"/>
          </w:tcPr>
          <w:p>
            <w:pPr>
              <w:spacing w:line="0" w:lineRule="atLeast"/>
              <w:rPr>
                <w:sz w:val="24"/>
              </w:rPr>
            </w:pPr>
          </w:p>
        </w:tc>
        <w:tc>
          <w:tcPr>
            <w:tcW w:w="3300" w:type="dxa"/>
            <w:vMerge w:val="continue"/>
            <w:tcBorders>
              <w:left w:val="single" w:color="auto" w:sz="4" w:space="0"/>
              <w:right w:val="single" w:color="auto" w:sz="4" w:space="0"/>
            </w:tcBorders>
            <w:noWrap w:val="0"/>
            <w:vAlign w:val="center"/>
          </w:tcPr>
          <w:p>
            <w:pPr>
              <w:spacing w:line="0" w:lineRule="atLeast"/>
              <w:rPr>
                <w:sz w:val="24"/>
              </w:rPr>
            </w:pPr>
          </w:p>
        </w:tc>
        <w:tc>
          <w:tcPr>
            <w:tcW w:w="17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00" w:type="dxa"/>
            <w:vMerge w:val="continue"/>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p>
        </w:tc>
        <w:tc>
          <w:tcPr>
            <w:tcW w:w="3333" w:type="dxa"/>
            <w:tcBorders>
              <w:left w:val="single" w:color="auto" w:sz="4" w:space="0"/>
              <w:right w:val="single" w:color="auto" w:sz="4" w:space="0"/>
            </w:tcBorders>
            <w:noWrap w:val="0"/>
            <w:vAlign w:val="center"/>
          </w:tcPr>
          <w:p>
            <w:pPr>
              <w:spacing w:line="0" w:lineRule="atLeast"/>
              <w:jc w:val="left"/>
              <w:rPr>
                <w:rFonts w:hint="eastAsia"/>
                <w:sz w:val="24"/>
              </w:rPr>
            </w:pPr>
            <w:r>
              <w:rPr>
                <w:rFonts w:hint="eastAsia"/>
                <w:sz w:val="24"/>
                <w:lang w:val="en-US" w:eastAsia="zh-CN"/>
              </w:rPr>
              <w:t>7、</w:t>
            </w:r>
            <w:r>
              <w:rPr>
                <w:rFonts w:hAnsi="仿宋_GB2312" w:eastAsia="仿宋_GB2312"/>
                <w:sz w:val="24"/>
              </w:rPr>
              <w:t>黄村河</w:t>
            </w:r>
            <w:r>
              <w:rPr>
                <w:rFonts w:hint="eastAsia"/>
                <w:sz w:val="24"/>
              </w:rPr>
              <w:t>工程已完工。</w:t>
            </w:r>
          </w:p>
          <w:p>
            <w:pPr>
              <w:spacing w:line="0" w:lineRule="atLeast"/>
              <w:jc w:val="left"/>
              <w:rPr>
                <w:rFonts w:hint="eastAsia" w:eastAsia="仿宋_GB2312"/>
                <w:sz w:val="24"/>
                <w:lang w:val="en-US" w:eastAsia="zh-CN"/>
              </w:rPr>
            </w:pPr>
          </w:p>
        </w:tc>
        <w:tc>
          <w:tcPr>
            <w:tcW w:w="1065" w:type="dxa"/>
            <w:tcBorders>
              <w:left w:val="single" w:color="auto" w:sz="4" w:space="0"/>
              <w:right w:val="single" w:color="auto" w:sz="4" w:space="0"/>
            </w:tcBorders>
            <w:noWrap w:val="0"/>
            <w:vAlign w:val="center"/>
          </w:tcPr>
          <w:p>
            <w:pPr>
              <w:spacing w:line="0" w:lineRule="atLeast"/>
              <w:jc w:val="center"/>
              <w:rPr>
                <w:spacing w:val="-20"/>
                <w:sz w:val="21"/>
              </w:rPr>
            </w:pPr>
            <w:r>
              <w:rPr>
                <w:rFonts w:hint="eastAsia"/>
                <w:sz w:val="21"/>
                <w:szCs w:val="21"/>
                <w:lang w:val="en-US" w:eastAsia="zh-CN"/>
              </w:rPr>
              <w:t>100</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2564" w:type="dxa"/>
            <w:vMerge w:val="continue"/>
            <w:tcBorders>
              <w:left w:val="single" w:color="auto" w:sz="4" w:space="0"/>
              <w:right w:val="single" w:color="auto" w:sz="4" w:space="0"/>
            </w:tcBorders>
            <w:noWrap w:val="0"/>
            <w:vAlign w:val="center"/>
          </w:tcPr>
          <w:p>
            <w:pPr>
              <w:spacing w:line="0" w:lineRule="atLeast"/>
              <w:jc w:val="center"/>
            </w:pPr>
          </w:p>
        </w:tc>
        <w:tc>
          <w:tcPr>
            <w:tcW w:w="3300" w:type="dxa"/>
            <w:vMerge w:val="continue"/>
            <w:tcBorders>
              <w:left w:val="single" w:color="auto" w:sz="4" w:space="0"/>
              <w:right w:val="single" w:color="auto" w:sz="4" w:space="0"/>
            </w:tcBorders>
            <w:noWrap w:val="0"/>
            <w:vAlign w:val="center"/>
          </w:tcPr>
          <w:p>
            <w:pPr>
              <w:spacing w:line="0" w:lineRule="atLeast"/>
              <w:jc w:val="center"/>
            </w:pPr>
          </w:p>
        </w:tc>
        <w:tc>
          <w:tcPr>
            <w:tcW w:w="1783" w:type="dxa"/>
            <w:vMerge w:val="continue"/>
            <w:tcBorders>
              <w:left w:val="single" w:color="auto" w:sz="4" w:space="0"/>
              <w:right w:val="single" w:color="auto" w:sz="4" w:space="0"/>
            </w:tcBorders>
            <w:noWrap w:val="0"/>
            <w:vAlign w:val="center"/>
          </w:tcPr>
          <w:p>
            <w:pPr>
              <w:spacing w:line="0" w:lineRule="atLeast"/>
              <w:jc w:val="center"/>
            </w:pPr>
          </w:p>
        </w:tc>
        <w:tc>
          <w:tcPr>
            <w:tcW w:w="1600" w:type="dxa"/>
            <w:vMerge w:val="continue"/>
            <w:tcBorders>
              <w:left w:val="single" w:color="auto" w:sz="4" w:space="0"/>
              <w:right w:val="single" w:color="auto" w:sz="4" w:space="0"/>
            </w:tcBorders>
            <w:noWrap w:val="0"/>
            <w:vAlign w:val="center"/>
          </w:tcPr>
          <w:p>
            <w:pPr>
              <w:spacing w:line="0" w:lineRule="atLeast"/>
              <w:jc w:val="center"/>
            </w:pPr>
          </w:p>
        </w:tc>
        <w:tc>
          <w:tcPr>
            <w:tcW w:w="3333" w:type="dxa"/>
            <w:tcBorders>
              <w:left w:val="single" w:color="auto" w:sz="4" w:space="0"/>
              <w:right w:val="single" w:color="auto" w:sz="4" w:space="0"/>
            </w:tcBorders>
            <w:noWrap w:val="0"/>
            <w:vAlign w:val="center"/>
          </w:tcPr>
          <w:p>
            <w:pPr>
              <w:spacing w:line="0" w:lineRule="atLeast"/>
              <w:jc w:val="left"/>
              <w:rPr>
                <w:rFonts w:hint="eastAsia" w:hAnsi="仿宋_GB2312" w:eastAsia="仿宋_GB2312"/>
                <w:sz w:val="24"/>
              </w:rPr>
            </w:pPr>
            <w:r>
              <w:rPr>
                <w:rFonts w:hint="eastAsia"/>
                <w:sz w:val="24"/>
                <w:lang w:val="en-US" w:eastAsia="zh-CN"/>
              </w:rPr>
              <w:t>8、</w:t>
            </w:r>
            <w:r>
              <w:rPr>
                <w:rFonts w:hAnsi="仿宋_GB2312" w:eastAsia="仿宋_GB2312"/>
                <w:sz w:val="24"/>
              </w:rPr>
              <w:t>长尾河</w:t>
            </w:r>
            <w:r>
              <w:rPr>
                <w:rFonts w:hint="eastAsia" w:hAnsi="仿宋_GB2312" w:eastAsia="仿宋_GB2312"/>
                <w:sz w:val="24"/>
              </w:rPr>
              <w:t>工程已完工。</w:t>
            </w:r>
          </w:p>
          <w:p>
            <w:pPr>
              <w:spacing w:line="0" w:lineRule="atLeast"/>
              <w:jc w:val="left"/>
              <w:rPr>
                <w:rFonts w:hint="eastAsia" w:eastAsia="仿宋_GB2312"/>
                <w:sz w:val="24"/>
                <w:lang w:val="en-US" w:eastAsia="zh-CN"/>
              </w:rPr>
            </w:pPr>
          </w:p>
        </w:tc>
        <w:tc>
          <w:tcPr>
            <w:tcW w:w="1065" w:type="dxa"/>
            <w:tcBorders>
              <w:left w:val="single" w:color="auto" w:sz="4" w:space="0"/>
              <w:right w:val="single" w:color="auto" w:sz="4" w:space="0"/>
            </w:tcBorders>
            <w:noWrap w:val="0"/>
            <w:vAlign w:val="center"/>
          </w:tcPr>
          <w:p>
            <w:pPr>
              <w:spacing w:line="0" w:lineRule="atLeast"/>
              <w:jc w:val="center"/>
              <w:rPr>
                <w:sz w:val="21"/>
              </w:rPr>
            </w:pPr>
            <w:r>
              <w:rPr>
                <w:rFonts w:hint="eastAsia" w:hAnsi="仿宋_GB2312"/>
                <w:sz w:val="21"/>
                <w:lang w:val="en-US" w:eastAsia="zh-CN"/>
              </w:rPr>
              <w:t>100</w:t>
            </w:r>
            <w:r>
              <w:rPr>
                <w:rFonts w:hint="eastAsia" w:hAnsi="仿宋_GB2312" w:eastAsia="仿宋_GB2312"/>
                <w:sz w:val="21"/>
              </w:rPr>
              <w:t>%</w:t>
            </w:r>
          </w:p>
        </w:tc>
      </w:tr>
    </w:tbl>
    <w:p>
      <w:pPr>
        <w:spacing w:line="0" w:lineRule="atLeast"/>
        <w:rPr>
          <w:rFonts w:hint="eastAsia"/>
          <w:b/>
          <w:sz w:val="24"/>
        </w:rPr>
      </w:pPr>
    </w:p>
    <w:p>
      <w:pPr>
        <w:spacing w:line="0" w:lineRule="atLeast"/>
        <w:ind w:firstLine="241" w:firstLineChars="100"/>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pPr w:leftFromText="180" w:rightFromText="180" w:vertAnchor="text" w:horzAnchor="page" w:tblpX="1336" w:tblpY="117"/>
        <w:tblOverlap w:val="never"/>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3"/>
        <w:gridCol w:w="3266"/>
        <w:gridCol w:w="1800"/>
        <w:gridCol w:w="1617"/>
        <w:gridCol w:w="330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75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753" w:type="dxa"/>
            <w:vMerge w:val="continue"/>
            <w:tcBorders>
              <w:left w:val="single" w:color="auto" w:sz="4" w:space="0"/>
              <w:right w:val="single" w:color="auto" w:sz="4" w:space="0"/>
            </w:tcBorders>
            <w:noWrap w:val="0"/>
            <w:vAlign w:val="center"/>
          </w:tcPr>
          <w:p>
            <w:pPr>
              <w:spacing w:line="0" w:lineRule="atLeast"/>
              <w:rPr>
                <w:sz w:val="24"/>
              </w:rPr>
            </w:pPr>
          </w:p>
        </w:tc>
        <w:tc>
          <w:tcPr>
            <w:tcW w:w="3266" w:type="dxa"/>
            <w:vMerge w:val="continue"/>
            <w:tcBorders>
              <w:left w:val="single" w:color="auto" w:sz="4" w:space="0"/>
              <w:right w:val="single" w:color="auto" w:sz="4" w:space="0"/>
            </w:tcBorders>
            <w:noWrap w:val="0"/>
            <w:vAlign w:val="center"/>
          </w:tcPr>
          <w:p>
            <w:pPr>
              <w:spacing w:line="0" w:lineRule="atLeast"/>
              <w:rPr>
                <w:sz w:val="24"/>
              </w:rPr>
            </w:pPr>
          </w:p>
        </w:tc>
        <w:tc>
          <w:tcPr>
            <w:tcW w:w="18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00" w:type="dxa"/>
            <w:vMerge w:val="continue"/>
            <w:tcBorders>
              <w:left w:val="single" w:color="auto" w:sz="4" w:space="0"/>
              <w:right w:val="single" w:color="auto" w:sz="4" w:space="0"/>
            </w:tcBorders>
            <w:noWrap w:val="0"/>
            <w:vAlign w:val="center"/>
          </w:tcPr>
          <w:p>
            <w:pPr>
              <w:spacing w:line="0" w:lineRule="atLeast"/>
              <w:rPr>
                <w:sz w:val="24"/>
              </w:rPr>
            </w:pPr>
          </w:p>
        </w:tc>
        <w:tc>
          <w:tcPr>
            <w:tcW w:w="123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2753"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实施中小河流治理</w:t>
            </w:r>
          </w:p>
        </w:tc>
        <w:tc>
          <w:tcPr>
            <w:tcW w:w="3266"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800" w:type="dxa"/>
            <w:vMerge w:val="restart"/>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市水务局</w:t>
            </w:r>
          </w:p>
        </w:tc>
        <w:tc>
          <w:tcPr>
            <w:tcW w:w="1617"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3300"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val="en-US" w:eastAsia="zh-CN"/>
              </w:rPr>
              <w:t>9、</w:t>
            </w:r>
            <w:r>
              <w:rPr>
                <w:rFonts w:hAnsi="仿宋_GB2312" w:eastAsia="仿宋_GB2312"/>
                <w:sz w:val="24"/>
              </w:rPr>
              <w:t>轮水河</w:t>
            </w:r>
            <w:r>
              <w:rPr>
                <w:rFonts w:hint="eastAsia"/>
                <w:sz w:val="24"/>
                <w:lang w:val="en-US" w:eastAsia="zh-CN"/>
              </w:rPr>
              <w:t>工程已完工。</w:t>
            </w:r>
          </w:p>
        </w:tc>
        <w:tc>
          <w:tcPr>
            <w:tcW w:w="1233" w:type="dxa"/>
            <w:tcBorders>
              <w:left w:val="single" w:color="auto" w:sz="4" w:space="0"/>
              <w:right w:val="single" w:color="auto" w:sz="4" w:space="0"/>
            </w:tcBorders>
            <w:noWrap w:val="0"/>
            <w:vAlign w:val="center"/>
          </w:tcPr>
          <w:p>
            <w:pPr>
              <w:spacing w:line="0" w:lineRule="atLeast"/>
              <w:jc w:val="center"/>
              <w:rPr>
                <w:rFonts w:hint="default"/>
                <w:spacing w:val="-20"/>
                <w:sz w:val="24"/>
                <w:lang w:val="en-US" w:eastAsia="zh-CN"/>
              </w:rPr>
            </w:pPr>
            <w:r>
              <w:rPr>
                <w:rFonts w:hint="default"/>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trPr>
        <w:tc>
          <w:tcPr>
            <w:tcW w:w="2753" w:type="dxa"/>
            <w:vMerge w:val="continue"/>
            <w:tcBorders>
              <w:left w:val="single" w:color="auto" w:sz="4" w:space="0"/>
              <w:right w:val="single" w:color="auto" w:sz="4" w:space="0"/>
            </w:tcBorders>
            <w:noWrap w:val="0"/>
            <w:vAlign w:val="center"/>
          </w:tcPr>
          <w:p>
            <w:pPr>
              <w:spacing w:line="0" w:lineRule="atLeast"/>
              <w:jc w:val="both"/>
              <w:rPr>
                <w:rFonts w:hAnsi="仿宋_GB2312" w:eastAsia="仿宋_GB2312"/>
                <w:sz w:val="24"/>
              </w:rPr>
            </w:pPr>
          </w:p>
        </w:tc>
        <w:tc>
          <w:tcPr>
            <w:tcW w:w="3266" w:type="dxa"/>
            <w:vMerge w:val="continue"/>
            <w:tcBorders>
              <w:left w:val="single" w:color="auto" w:sz="4" w:space="0"/>
              <w:right w:val="single" w:color="auto" w:sz="4" w:space="0"/>
            </w:tcBorders>
            <w:noWrap w:val="0"/>
            <w:vAlign w:val="center"/>
          </w:tcPr>
          <w:p>
            <w:pPr>
              <w:spacing w:line="0" w:lineRule="atLeast"/>
              <w:jc w:val="both"/>
              <w:rPr>
                <w:rFonts w:hAnsi="仿宋_GB2312" w:eastAsia="仿宋_GB2312"/>
                <w:sz w:val="24"/>
              </w:rPr>
            </w:pPr>
          </w:p>
        </w:tc>
        <w:tc>
          <w:tcPr>
            <w:tcW w:w="1800" w:type="dxa"/>
            <w:vMerge w:val="continue"/>
            <w:tcBorders>
              <w:left w:val="single" w:color="auto" w:sz="4" w:space="0"/>
              <w:right w:val="single" w:color="auto" w:sz="4" w:space="0"/>
            </w:tcBorders>
            <w:noWrap w:val="0"/>
            <w:vAlign w:val="center"/>
          </w:tcPr>
          <w:p>
            <w:pPr>
              <w:spacing w:line="0" w:lineRule="atLeast"/>
              <w:jc w:val="center"/>
              <w:rPr>
                <w:rFonts w:hAnsi="仿宋_GB2312" w:eastAsia="仿宋_GB2312"/>
                <w:sz w:val="24"/>
              </w:rPr>
            </w:pPr>
          </w:p>
        </w:tc>
        <w:tc>
          <w:tcPr>
            <w:tcW w:w="1617"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3300" w:type="dxa"/>
            <w:tcBorders>
              <w:left w:val="single" w:color="auto" w:sz="4" w:space="0"/>
              <w:right w:val="single" w:color="auto" w:sz="4" w:space="0"/>
            </w:tcBorders>
            <w:noWrap w:val="0"/>
            <w:vAlign w:val="center"/>
          </w:tcPr>
          <w:p>
            <w:pPr>
              <w:spacing w:line="0" w:lineRule="atLeast"/>
              <w:jc w:val="left"/>
              <w:rPr>
                <w:rFonts w:hint="eastAsia" w:hAnsi="仿宋_GB2312" w:eastAsia="仿宋_GB2312"/>
                <w:sz w:val="24"/>
              </w:rPr>
            </w:pPr>
            <w:r>
              <w:rPr>
                <w:rFonts w:hint="eastAsia"/>
                <w:sz w:val="24"/>
                <w:lang w:val="en-US" w:eastAsia="zh-CN"/>
              </w:rPr>
              <w:t>10、</w:t>
            </w:r>
            <w:r>
              <w:rPr>
                <w:rFonts w:hAnsi="仿宋_GB2312" w:eastAsia="仿宋_GB2312"/>
                <w:sz w:val="24"/>
              </w:rPr>
              <w:t>那座河</w:t>
            </w:r>
            <w:r>
              <w:rPr>
                <w:rFonts w:hint="eastAsia" w:hAnsi="仿宋_GB2312" w:eastAsia="仿宋_GB2312"/>
                <w:sz w:val="24"/>
              </w:rPr>
              <w:t>工程已完工。</w:t>
            </w:r>
          </w:p>
          <w:p>
            <w:pPr>
              <w:spacing w:line="0" w:lineRule="atLeast"/>
              <w:jc w:val="left"/>
              <w:rPr>
                <w:rFonts w:hint="eastAsia"/>
                <w:sz w:val="24"/>
                <w:lang w:eastAsia="zh-CN"/>
              </w:rPr>
            </w:pPr>
          </w:p>
        </w:tc>
        <w:tc>
          <w:tcPr>
            <w:tcW w:w="1233" w:type="dxa"/>
            <w:tcBorders>
              <w:left w:val="single" w:color="auto" w:sz="4" w:space="0"/>
              <w:right w:val="single" w:color="auto" w:sz="4" w:space="0"/>
            </w:tcBorders>
            <w:noWrap w:val="0"/>
            <w:vAlign w:val="center"/>
          </w:tcPr>
          <w:p>
            <w:pPr>
              <w:spacing w:line="0" w:lineRule="atLeast"/>
              <w:jc w:val="center"/>
              <w:rPr>
                <w:rFonts w:hint="eastAsia"/>
                <w:sz w:val="24"/>
                <w:lang w:val="en-US" w:eastAsia="zh-CN"/>
              </w:rPr>
            </w:pPr>
            <w:r>
              <w:rPr>
                <w:rFonts w:hint="eastAsia" w:hAnsi="仿宋_GB2312"/>
                <w:sz w:val="24"/>
                <w:lang w:val="en-US" w:eastAsia="zh-CN"/>
              </w:rPr>
              <w:t>100</w:t>
            </w:r>
            <w:r>
              <w:rPr>
                <w:rFonts w:hint="eastAsia" w:hAnsi="仿宋_GB2312" w:eastAsia="仿宋_GB2312"/>
                <w:sz w:val="24"/>
              </w:rPr>
              <w:t>%</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W w:w="13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3267"/>
        <w:gridCol w:w="1817"/>
        <w:gridCol w:w="1633"/>
        <w:gridCol w:w="338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63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34" w:type="dxa"/>
            <w:vMerge w:val="continue"/>
            <w:tcBorders>
              <w:left w:val="single" w:color="auto" w:sz="4" w:space="0"/>
              <w:right w:val="single" w:color="auto" w:sz="4" w:space="0"/>
            </w:tcBorders>
            <w:noWrap w:val="0"/>
            <w:vAlign w:val="center"/>
          </w:tcPr>
          <w:p>
            <w:pPr>
              <w:spacing w:line="0" w:lineRule="atLeast"/>
              <w:rPr>
                <w:sz w:val="24"/>
              </w:rPr>
            </w:pPr>
          </w:p>
        </w:tc>
        <w:tc>
          <w:tcPr>
            <w:tcW w:w="3267" w:type="dxa"/>
            <w:vMerge w:val="continue"/>
            <w:tcBorders>
              <w:left w:val="single" w:color="auto" w:sz="4" w:space="0"/>
              <w:right w:val="single" w:color="auto" w:sz="4" w:space="0"/>
            </w:tcBorders>
            <w:noWrap w:val="0"/>
            <w:vAlign w:val="center"/>
          </w:tcPr>
          <w:p>
            <w:pPr>
              <w:spacing w:line="0" w:lineRule="atLeast"/>
              <w:rPr>
                <w:sz w:val="24"/>
              </w:rPr>
            </w:pPr>
          </w:p>
        </w:tc>
        <w:tc>
          <w:tcPr>
            <w:tcW w:w="18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88" w:type="dxa"/>
            <w:vMerge w:val="continue"/>
            <w:tcBorders>
              <w:left w:val="single" w:color="auto" w:sz="4" w:space="0"/>
              <w:right w:val="single" w:color="auto" w:sz="4" w:space="0"/>
            </w:tcBorders>
            <w:noWrap w:val="0"/>
            <w:vAlign w:val="center"/>
          </w:tcPr>
          <w:p>
            <w:pPr>
              <w:spacing w:line="0" w:lineRule="atLeast"/>
              <w:rPr>
                <w:sz w:val="24"/>
              </w:rPr>
            </w:pPr>
          </w:p>
        </w:tc>
        <w:tc>
          <w:tcPr>
            <w:tcW w:w="108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2634" w:type="dxa"/>
            <w:vMerge w:val="restart"/>
            <w:tcBorders>
              <w:left w:val="single" w:color="auto" w:sz="4" w:space="0"/>
              <w:right w:val="single" w:color="auto" w:sz="4" w:space="0"/>
            </w:tcBorders>
            <w:noWrap w:val="0"/>
            <w:vAlign w:val="center"/>
          </w:tcPr>
          <w:p>
            <w:pPr>
              <w:spacing w:line="0" w:lineRule="atLeast"/>
              <w:rPr>
                <w:sz w:val="24"/>
              </w:rPr>
            </w:pPr>
            <w:r>
              <w:rPr>
                <w:rFonts w:hint="eastAsia" w:hAnsi="仿宋_GB2312" w:eastAsia="仿宋_GB2312"/>
                <w:sz w:val="24"/>
              </w:rPr>
              <w:t>加强市政基础设施建设</w:t>
            </w:r>
          </w:p>
        </w:tc>
        <w:tc>
          <w:tcPr>
            <w:tcW w:w="3267" w:type="dxa"/>
            <w:vMerge w:val="restart"/>
            <w:tcBorders>
              <w:left w:val="single" w:color="auto" w:sz="4" w:space="0"/>
              <w:right w:val="single" w:color="auto" w:sz="4" w:space="0"/>
            </w:tcBorders>
            <w:noWrap w:val="0"/>
            <w:vAlign w:val="center"/>
          </w:tcPr>
          <w:p>
            <w:pPr>
              <w:spacing w:line="0" w:lineRule="atLeast"/>
              <w:rPr>
                <w:rFonts w:hint="eastAsia" w:eastAsia="仿宋_GB2312"/>
                <w:sz w:val="24"/>
                <w:lang w:val="en-US" w:eastAsia="zh-CN"/>
              </w:rPr>
            </w:pPr>
            <w:r>
              <w:rPr>
                <w:rFonts w:hint="eastAsia" w:hAnsi="仿宋_GB2312" w:eastAsia="仿宋_GB2312"/>
                <w:sz w:val="24"/>
              </w:rPr>
              <w:t>建设高坡路第一期道路工程(项目总投资为1500万元，2020年计划投资约760万元）。</w:t>
            </w:r>
            <w:r>
              <w:rPr>
                <w:rFonts w:hint="eastAsia"/>
                <w:b/>
                <w:sz w:val="24"/>
              </w:rPr>
              <w:t xml:space="preserve"> </w:t>
            </w:r>
            <w:r>
              <w:rPr>
                <w:rFonts w:hint="default" w:ascii="Times New Roman" w:hAnsi="Times New Roman" w:cs="Times New Roman"/>
                <w:sz w:val="24"/>
              </w:rPr>
              <w:t>●</w:t>
            </w:r>
          </w:p>
        </w:tc>
        <w:tc>
          <w:tcPr>
            <w:tcW w:w="1817"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市住建局</w:t>
            </w:r>
          </w:p>
        </w:tc>
        <w:tc>
          <w:tcPr>
            <w:tcW w:w="1633"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张奕文</w:t>
            </w:r>
          </w:p>
        </w:tc>
        <w:tc>
          <w:tcPr>
            <w:tcW w:w="3388" w:type="dxa"/>
            <w:vMerge w:val="restart"/>
            <w:tcBorders>
              <w:left w:val="single" w:color="auto" w:sz="4" w:space="0"/>
              <w:right w:val="single" w:color="auto" w:sz="4" w:space="0"/>
            </w:tcBorders>
            <w:noWrap w:val="0"/>
            <w:vAlign w:val="center"/>
          </w:tcPr>
          <w:p>
            <w:pPr>
              <w:spacing w:line="0" w:lineRule="atLeast"/>
              <w:rPr>
                <w:rFonts w:hint="eastAsia"/>
                <w:sz w:val="24"/>
                <w:lang w:val="en-US" w:eastAsia="zh-CN"/>
              </w:rPr>
            </w:pPr>
            <w:r>
              <w:rPr>
                <w:rFonts w:hint="eastAsia"/>
                <w:sz w:val="24"/>
                <w:lang w:val="en-US" w:eastAsia="zh-CN"/>
              </w:rPr>
              <w:t>D段已完成混凝土路面铺设。现正浇筑B段和C段混凝土路面。</w:t>
            </w:r>
          </w:p>
          <w:p>
            <w:pPr>
              <w:spacing w:line="0" w:lineRule="atLeast"/>
              <w:rPr>
                <w:rFonts w:hint="eastAsia" w:eastAsia="仿宋_GB2312"/>
                <w:sz w:val="24"/>
                <w:lang w:eastAsia="zh-CN"/>
              </w:rPr>
            </w:pPr>
            <w:r>
              <w:rPr>
                <w:rFonts w:hint="eastAsia"/>
                <w:sz w:val="24"/>
                <w:lang w:val="en-US" w:eastAsia="zh-CN"/>
              </w:rPr>
              <w:t>1至12月已完成年度计划投资。</w:t>
            </w:r>
          </w:p>
        </w:tc>
        <w:tc>
          <w:tcPr>
            <w:tcW w:w="1080" w:type="dxa"/>
            <w:vMerge w:val="restart"/>
            <w:tcBorders>
              <w:left w:val="single" w:color="auto" w:sz="4" w:space="0"/>
              <w:right w:val="single" w:color="auto" w:sz="4" w:space="0"/>
            </w:tcBorders>
            <w:noWrap w:val="0"/>
            <w:vAlign w:val="center"/>
          </w:tcPr>
          <w:p>
            <w:pPr>
              <w:spacing w:line="0" w:lineRule="atLeast"/>
              <w:jc w:val="center"/>
              <w:rPr>
                <w:spacing w:val="-20"/>
                <w:sz w:val="24"/>
              </w:rPr>
            </w:pPr>
            <w:r>
              <w:rPr>
                <w:rFonts w:hint="eastAsia"/>
                <w:sz w:val="24"/>
                <w:lang w:val="en-US" w:eastAsia="zh-CN"/>
              </w:rPr>
              <w:t>100</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2634" w:type="dxa"/>
            <w:vMerge w:val="continue"/>
            <w:tcBorders>
              <w:left w:val="single" w:color="auto" w:sz="4" w:space="0"/>
              <w:right w:val="single" w:color="auto" w:sz="4" w:space="0"/>
            </w:tcBorders>
            <w:noWrap w:val="0"/>
            <w:vAlign w:val="center"/>
          </w:tcPr>
          <w:p>
            <w:pPr>
              <w:spacing w:line="0" w:lineRule="atLeast"/>
              <w:jc w:val="center"/>
            </w:pPr>
          </w:p>
        </w:tc>
        <w:tc>
          <w:tcPr>
            <w:tcW w:w="3267" w:type="dxa"/>
            <w:vMerge w:val="continue"/>
            <w:tcBorders>
              <w:left w:val="single" w:color="auto" w:sz="4" w:space="0"/>
              <w:right w:val="single" w:color="auto" w:sz="4" w:space="0"/>
            </w:tcBorders>
            <w:noWrap w:val="0"/>
            <w:vAlign w:val="center"/>
          </w:tcPr>
          <w:p>
            <w:pPr>
              <w:spacing w:line="0" w:lineRule="atLeast"/>
              <w:jc w:val="center"/>
            </w:pPr>
          </w:p>
        </w:tc>
        <w:tc>
          <w:tcPr>
            <w:tcW w:w="1817" w:type="dxa"/>
            <w:vMerge w:val="continue"/>
            <w:tcBorders>
              <w:left w:val="single" w:color="auto" w:sz="4" w:space="0"/>
              <w:right w:val="single" w:color="auto" w:sz="4" w:space="0"/>
            </w:tcBorders>
            <w:noWrap w:val="0"/>
            <w:vAlign w:val="center"/>
          </w:tcPr>
          <w:p>
            <w:pPr>
              <w:spacing w:line="0" w:lineRule="atLeast"/>
              <w:jc w:val="center"/>
            </w:pPr>
          </w:p>
        </w:tc>
        <w:tc>
          <w:tcPr>
            <w:tcW w:w="1633" w:type="dxa"/>
            <w:vMerge w:val="continue"/>
            <w:tcBorders>
              <w:left w:val="single" w:color="auto" w:sz="4" w:space="0"/>
              <w:right w:val="single" w:color="auto" w:sz="4" w:space="0"/>
            </w:tcBorders>
            <w:noWrap w:val="0"/>
            <w:vAlign w:val="center"/>
          </w:tcPr>
          <w:p>
            <w:pPr>
              <w:spacing w:line="0" w:lineRule="atLeast"/>
              <w:jc w:val="center"/>
            </w:pPr>
          </w:p>
        </w:tc>
        <w:tc>
          <w:tcPr>
            <w:tcW w:w="3388" w:type="dxa"/>
            <w:vMerge w:val="continue"/>
            <w:tcBorders>
              <w:left w:val="single" w:color="auto" w:sz="4" w:space="0"/>
              <w:right w:val="single" w:color="auto" w:sz="4" w:space="0"/>
            </w:tcBorders>
            <w:noWrap w:val="0"/>
            <w:vAlign w:val="center"/>
          </w:tcPr>
          <w:p>
            <w:pPr>
              <w:spacing w:line="0" w:lineRule="atLeast"/>
              <w:jc w:val="center"/>
            </w:pPr>
          </w:p>
        </w:tc>
        <w:tc>
          <w:tcPr>
            <w:tcW w:w="1080" w:type="dxa"/>
            <w:vMerge w:val="continue"/>
            <w:tcBorders>
              <w:left w:val="single" w:color="auto" w:sz="4" w:space="0"/>
              <w:right w:val="single" w:color="auto" w:sz="4" w:space="0"/>
            </w:tcBorders>
            <w:noWrap w:val="0"/>
            <w:vAlign w:val="center"/>
          </w:tcPr>
          <w:p>
            <w:pPr>
              <w:spacing w:line="0" w:lineRule="atLeast"/>
              <w:jc w:val="center"/>
            </w:pP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5"/>
        <w:tblpPr w:leftFromText="180" w:rightFromText="180" w:vertAnchor="text" w:horzAnchor="page" w:tblpX="1336" w:tblpY="117"/>
        <w:tblOverlap w:val="never"/>
        <w:tblW w:w="13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3284"/>
        <w:gridCol w:w="1816"/>
        <w:gridCol w:w="1650"/>
        <w:gridCol w:w="33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71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719"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p>
            <w:pPr>
              <w:spacing w:line="0" w:lineRule="atLeast"/>
              <w:jc w:val="center"/>
              <w:rPr>
                <w:rFonts w:eastAsia="黑体"/>
                <w:sz w:val="24"/>
              </w:rPr>
            </w:pPr>
          </w:p>
        </w:tc>
        <w:tc>
          <w:tcPr>
            <w:tcW w:w="3284"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816"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65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336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117" w:type="dxa"/>
            <w:vMerge w:val="continue"/>
            <w:tcBorders>
              <w:left w:val="single" w:color="auto" w:sz="4" w:space="0"/>
              <w:right w:val="single" w:color="auto" w:sz="4" w:space="0"/>
            </w:tcBorders>
            <w:noWrap w:val="0"/>
            <w:vAlign w:val="center"/>
          </w:tcPr>
          <w:p>
            <w:pPr>
              <w:spacing w:line="0" w:lineRule="atLeast"/>
              <w:jc w:val="center"/>
              <w:rPr>
                <w:rFonts w:eastAsia="黑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719" w:type="dxa"/>
            <w:vMerge w:val="continue"/>
            <w:tcBorders>
              <w:left w:val="single" w:color="auto" w:sz="4" w:space="0"/>
              <w:right w:val="single" w:color="auto" w:sz="4" w:space="0"/>
            </w:tcBorders>
            <w:noWrap w:val="0"/>
            <w:vAlign w:val="center"/>
          </w:tcPr>
          <w:p>
            <w:pPr>
              <w:spacing w:line="0" w:lineRule="atLeast"/>
              <w:rPr>
                <w:sz w:val="24"/>
              </w:rPr>
            </w:pPr>
          </w:p>
        </w:tc>
        <w:tc>
          <w:tcPr>
            <w:tcW w:w="3284" w:type="dxa"/>
            <w:vMerge w:val="continue"/>
            <w:tcBorders>
              <w:left w:val="single" w:color="auto" w:sz="4" w:space="0"/>
              <w:right w:val="single" w:color="auto" w:sz="4" w:space="0"/>
            </w:tcBorders>
            <w:noWrap w:val="0"/>
            <w:vAlign w:val="center"/>
          </w:tcPr>
          <w:p>
            <w:pPr>
              <w:spacing w:line="0" w:lineRule="atLeast"/>
              <w:rPr>
                <w:sz w:val="24"/>
              </w:rPr>
            </w:pPr>
          </w:p>
        </w:tc>
        <w:tc>
          <w:tcPr>
            <w:tcW w:w="18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67" w:type="dxa"/>
            <w:vMerge w:val="continue"/>
            <w:tcBorders>
              <w:left w:val="single" w:color="auto" w:sz="4" w:space="0"/>
              <w:right w:val="single" w:color="auto" w:sz="4" w:space="0"/>
            </w:tcBorders>
            <w:noWrap w:val="0"/>
            <w:vAlign w:val="center"/>
          </w:tcPr>
          <w:p>
            <w:pPr>
              <w:spacing w:line="0" w:lineRule="atLeast"/>
              <w:rPr>
                <w:sz w:val="24"/>
              </w:rPr>
            </w:pPr>
          </w:p>
        </w:tc>
        <w:tc>
          <w:tcPr>
            <w:tcW w:w="111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2719"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提高城乡居民救助补助标准</w:t>
            </w:r>
          </w:p>
        </w:tc>
        <w:tc>
          <w:tcPr>
            <w:tcW w:w="3284"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sz w:val="24"/>
              </w:rPr>
              <w:t>2020年</w:t>
            </w:r>
            <w:r>
              <w:rPr>
                <w:rFonts w:hAnsi="仿宋_GB2312" w:eastAsia="仿宋_GB2312"/>
                <w:sz w:val="24"/>
              </w:rPr>
              <w:t>各县（市、区）事实无人抚养儿童补贴标准提高到每人每月1110元。</w:t>
            </w:r>
            <w:r>
              <w:rPr>
                <w:rFonts w:hint="eastAsia" w:hAnsi="仿宋_GB2312"/>
                <w:sz w:val="24"/>
                <w:lang w:eastAsia="zh-CN"/>
              </w:rPr>
              <w:t>其中：</w:t>
            </w:r>
            <w:r>
              <w:rPr>
                <w:sz w:val="24"/>
              </w:rPr>
              <w:t>我市事实无人抚养儿童保障金按照孤儿标准1110元/人/月，已获得最低生活保障金、特困人员救助供养金或者困难残疾人生活补贴且未达到事实无人抚养儿童基本生活保障补贴标准的进行补差发放。</w:t>
            </w:r>
            <w:r>
              <w:rPr>
                <w:rFonts w:hint="eastAsia"/>
                <w:sz w:val="24"/>
              </w:rPr>
              <w:t>▲</w:t>
            </w:r>
          </w:p>
        </w:tc>
        <w:tc>
          <w:tcPr>
            <w:tcW w:w="1816"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市民政局</w:t>
            </w:r>
          </w:p>
        </w:tc>
        <w:tc>
          <w:tcPr>
            <w:tcW w:w="1650"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3367"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eastAsia="zh-CN"/>
              </w:rPr>
              <w:t>截止</w:t>
            </w:r>
            <w:r>
              <w:rPr>
                <w:rFonts w:hint="eastAsia"/>
                <w:sz w:val="24"/>
                <w:lang w:val="en-US" w:eastAsia="zh-CN"/>
              </w:rPr>
              <w:t>12</w:t>
            </w:r>
            <w:r>
              <w:rPr>
                <w:sz w:val="24"/>
              </w:rPr>
              <w:t>月</w:t>
            </w:r>
            <w:r>
              <w:rPr>
                <w:rFonts w:hint="eastAsia"/>
                <w:sz w:val="24"/>
                <w:lang w:eastAsia="zh-CN"/>
              </w:rPr>
              <w:t>底，我市</w:t>
            </w:r>
            <w:r>
              <w:rPr>
                <w:sz w:val="24"/>
              </w:rPr>
              <w:t>事实无人抚养儿童</w:t>
            </w:r>
            <w:r>
              <w:rPr>
                <w:rFonts w:hint="eastAsia"/>
                <w:sz w:val="24"/>
                <w:lang w:val="en-US" w:eastAsia="zh-CN"/>
              </w:rPr>
              <w:t>597</w:t>
            </w:r>
            <w:r>
              <w:rPr>
                <w:sz w:val="24"/>
              </w:rPr>
              <w:t>人</w:t>
            </w:r>
            <w:r>
              <w:rPr>
                <w:rFonts w:hint="eastAsia"/>
                <w:sz w:val="24"/>
                <w:lang w:eastAsia="zh-CN"/>
              </w:rPr>
              <w:t>（其中</w:t>
            </w:r>
            <w:r>
              <w:rPr>
                <w:sz w:val="24"/>
              </w:rPr>
              <w:t>非低保事实无人抚养儿童31</w:t>
            </w:r>
            <w:r>
              <w:rPr>
                <w:rFonts w:hint="eastAsia"/>
                <w:sz w:val="24"/>
                <w:lang w:val="en-US" w:eastAsia="zh-CN"/>
              </w:rPr>
              <w:t>6</w:t>
            </w:r>
            <w:r>
              <w:rPr>
                <w:sz w:val="24"/>
              </w:rPr>
              <w:t>人、低保补差事实无人抚养儿童</w:t>
            </w:r>
            <w:r>
              <w:rPr>
                <w:rFonts w:hint="eastAsia"/>
                <w:sz w:val="24"/>
                <w:lang w:val="en-US" w:eastAsia="zh-CN"/>
              </w:rPr>
              <w:t>281</w:t>
            </w:r>
            <w:r>
              <w:rPr>
                <w:sz w:val="24"/>
              </w:rPr>
              <w:t>人</w:t>
            </w:r>
            <w:r>
              <w:rPr>
                <w:rFonts w:hint="eastAsia"/>
                <w:sz w:val="24"/>
                <w:lang w:eastAsia="zh-CN"/>
              </w:rPr>
              <w:t>）</w:t>
            </w:r>
            <w:r>
              <w:rPr>
                <w:sz w:val="24"/>
              </w:rPr>
              <w:t>。</w:t>
            </w:r>
            <w:r>
              <w:rPr>
                <w:rFonts w:hint="eastAsia"/>
                <w:sz w:val="24"/>
                <w:lang w:val="en-US" w:eastAsia="zh-CN"/>
              </w:rPr>
              <w:t>1至12月，</w:t>
            </w:r>
            <w:r>
              <w:rPr>
                <w:sz w:val="24"/>
              </w:rPr>
              <w:t>全市共发放事实无人抚养保障金</w:t>
            </w:r>
            <w:r>
              <w:rPr>
                <w:rFonts w:hint="eastAsia"/>
                <w:sz w:val="24"/>
                <w:lang w:val="en-US" w:eastAsia="zh-CN"/>
              </w:rPr>
              <w:t>625.4247</w:t>
            </w:r>
            <w:r>
              <w:rPr>
                <w:sz w:val="24"/>
              </w:rPr>
              <w:t>万元。</w:t>
            </w:r>
          </w:p>
        </w:tc>
        <w:tc>
          <w:tcPr>
            <w:tcW w:w="1117"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pPr w:leftFromText="180" w:rightFromText="180" w:vertAnchor="text" w:horzAnchor="page" w:tblpX="1336" w:tblpY="117"/>
        <w:tblOverlap w:val="never"/>
        <w:tblW w:w="13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3283"/>
        <w:gridCol w:w="1833"/>
        <w:gridCol w:w="1650"/>
        <w:gridCol w:w="33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70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2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703" w:type="dxa"/>
            <w:vMerge w:val="continue"/>
            <w:tcBorders>
              <w:left w:val="single" w:color="auto" w:sz="4" w:space="0"/>
              <w:right w:val="single" w:color="auto" w:sz="4" w:space="0"/>
            </w:tcBorders>
            <w:noWrap w:val="0"/>
            <w:vAlign w:val="center"/>
          </w:tcPr>
          <w:p>
            <w:pPr>
              <w:spacing w:line="0" w:lineRule="atLeast"/>
              <w:rPr>
                <w:sz w:val="24"/>
              </w:rPr>
            </w:pPr>
          </w:p>
        </w:tc>
        <w:tc>
          <w:tcPr>
            <w:tcW w:w="3283" w:type="dxa"/>
            <w:vMerge w:val="continue"/>
            <w:tcBorders>
              <w:left w:val="single" w:color="auto" w:sz="4" w:space="0"/>
              <w:right w:val="single" w:color="auto" w:sz="4" w:space="0"/>
            </w:tcBorders>
            <w:noWrap w:val="0"/>
            <w:vAlign w:val="center"/>
          </w:tcPr>
          <w:p>
            <w:pPr>
              <w:spacing w:line="0" w:lineRule="atLeast"/>
              <w:rPr>
                <w:sz w:val="24"/>
              </w:rPr>
            </w:pPr>
          </w:p>
        </w:tc>
        <w:tc>
          <w:tcPr>
            <w:tcW w:w="18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67" w:type="dxa"/>
            <w:vMerge w:val="continue"/>
            <w:tcBorders>
              <w:left w:val="single" w:color="auto" w:sz="4" w:space="0"/>
              <w:right w:val="single" w:color="auto" w:sz="4" w:space="0"/>
            </w:tcBorders>
            <w:noWrap w:val="0"/>
            <w:vAlign w:val="center"/>
          </w:tcPr>
          <w:p>
            <w:pPr>
              <w:spacing w:line="0" w:lineRule="atLeast"/>
              <w:rPr>
                <w:sz w:val="24"/>
              </w:rPr>
            </w:pPr>
          </w:p>
        </w:tc>
        <w:tc>
          <w:tcPr>
            <w:tcW w:w="111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8" w:hRule="atLeast"/>
        </w:trPr>
        <w:tc>
          <w:tcPr>
            <w:tcW w:w="2703"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提升医疗卫生服务水平</w:t>
            </w:r>
          </w:p>
        </w:tc>
        <w:tc>
          <w:tcPr>
            <w:tcW w:w="3283"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eastAsia="仿宋_GB2312"/>
                <w:sz w:val="24"/>
                <w:lang w:eastAsia="zh-CN"/>
              </w:rPr>
              <w:t>完善疫苗接种管理体系建设，建设和改造</w:t>
            </w:r>
            <w:r>
              <w:rPr>
                <w:rFonts w:hint="eastAsia" w:hAnsi="仿宋_GB2312"/>
                <w:sz w:val="24"/>
                <w:lang w:val="en-US" w:eastAsia="zh-CN"/>
              </w:rPr>
              <w:t>45家</w:t>
            </w:r>
            <w:r>
              <w:rPr>
                <w:rFonts w:hint="eastAsia" w:hAnsi="仿宋_GB2312" w:eastAsia="仿宋_GB2312"/>
                <w:sz w:val="24"/>
                <w:lang w:eastAsia="zh-CN"/>
              </w:rPr>
              <w:t>疾控机构冷链系统，实现全市</w:t>
            </w:r>
            <w:r>
              <w:rPr>
                <w:rFonts w:hint="eastAsia" w:hAnsi="仿宋_GB2312"/>
                <w:sz w:val="24"/>
                <w:lang w:val="en-US" w:eastAsia="zh-CN"/>
              </w:rPr>
              <w:t>51</w:t>
            </w:r>
            <w:r>
              <w:rPr>
                <w:rFonts w:hint="eastAsia" w:hAnsi="仿宋_GB2312" w:eastAsia="仿宋_GB2312"/>
                <w:sz w:val="24"/>
                <w:lang w:eastAsia="zh-CN"/>
              </w:rPr>
              <w:t>家预防接种门诊数字化</w:t>
            </w:r>
            <w:r>
              <w:rPr>
                <w:rFonts w:hint="eastAsia" w:hAnsi="仿宋_GB2312"/>
                <w:sz w:val="24"/>
                <w:lang w:eastAsia="zh-CN"/>
              </w:rPr>
              <w:t>。其中：我市任务为：</w:t>
            </w:r>
            <w:r>
              <w:rPr>
                <w:rFonts w:hint="eastAsia" w:hAnsi="仿宋_GB2312" w:eastAsia="仿宋_GB2312"/>
                <w:sz w:val="24"/>
                <w:lang w:eastAsia="zh-CN"/>
              </w:rPr>
              <w:t>完善疫苗接种管理体系建设，建设和改造疾控机构冷链系统，实现全市18家预防接种门诊数字化。</w:t>
            </w:r>
            <w:r>
              <w:rPr>
                <w:rFonts w:hint="eastAsia"/>
                <w:sz w:val="24"/>
              </w:rPr>
              <w:t>▲</w:t>
            </w:r>
          </w:p>
        </w:tc>
        <w:tc>
          <w:tcPr>
            <w:tcW w:w="1833"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r>
              <w:rPr>
                <w:rFonts w:hint="eastAsia" w:hAnsi="仿宋_GB2312"/>
                <w:sz w:val="24"/>
                <w:lang w:val="en-US" w:eastAsia="zh-CN"/>
              </w:rPr>
              <w:t>市卫健局</w:t>
            </w:r>
          </w:p>
        </w:tc>
        <w:tc>
          <w:tcPr>
            <w:tcW w:w="1650" w:type="dxa"/>
            <w:tcBorders>
              <w:left w:val="single" w:color="auto" w:sz="4" w:space="0"/>
              <w:right w:val="single" w:color="auto" w:sz="4" w:space="0"/>
            </w:tcBorders>
            <w:noWrap w:val="0"/>
            <w:vAlign w:val="center"/>
          </w:tcPr>
          <w:p>
            <w:pPr>
              <w:spacing w:line="0" w:lineRule="atLeast"/>
              <w:jc w:val="center"/>
              <w:rPr>
                <w:rFonts w:hint="eastAsia"/>
                <w:sz w:val="24"/>
                <w:lang w:val="en-US" w:eastAsia="zh-CN"/>
              </w:rPr>
            </w:pPr>
            <w:r>
              <w:rPr>
                <w:rFonts w:hint="eastAsia"/>
                <w:sz w:val="24"/>
                <w:lang w:val="en-US" w:eastAsia="zh-CN"/>
              </w:rPr>
              <w:t>何梅</w:t>
            </w:r>
          </w:p>
        </w:tc>
        <w:tc>
          <w:tcPr>
            <w:tcW w:w="3367" w:type="dxa"/>
            <w:tcBorders>
              <w:left w:val="single" w:color="auto" w:sz="4" w:space="0"/>
              <w:right w:val="single" w:color="auto" w:sz="4" w:space="0"/>
            </w:tcBorders>
            <w:noWrap w:val="0"/>
            <w:vAlign w:val="center"/>
          </w:tcPr>
          <w:p>
            <w:pPr>
              <w:spacing w:line="0" w:lineRule="atLeast"/>
              <w:jc w:val="left"/>
              <w:rPr>
                <w:rFonts w:hint="eastAsia" w:eastAsia="仿宋_GB2312"/>
                <w:sz w:val="24"/>
                <w:szCs w:val="24"/>
                <w:lang w:val="en-US" w:eastAsia="zh-CN"/>
              </w:rPr>
            </w:pPr>
            <w:r>
              <w:rPr>
                <w:rFonts w:hint="eastAsia"/>
                <w:sz w:val="24"/>
                <w:szCs w:val="24"/>
                <w:lang w:val="en-US" w:eastAsia="zh-CN"/>
              </w:rPr>
              <w:t>1、</w:t>
            </w:r>
            <w:r>
              <w:rPr>
                <w:rFonts w:hint="eastAsia" w:eastAsia="仿宋_GB2312"/>
                <w:sz w:val="24"/>
                <w:szCs w:val="24"/>
                <w:lang w:val="en-US" w:eastAsia="zh-CN"/>
              </w:rPr>
              <w:t>18间预防接种门诊</w:t>
            </w:r>
            <w:r>
              <w:rPr>
                <w:rFonts w:hint="eastAsia"/>
                <w:sz w:val="24"/>
                <w:szCs w:val="24"/>
                <w:lang w:val="en-US" w:eastAsia="zh-CN"/>
              </w:rPr>
              <w:t>的</w:t>
            </w:r>
            <w:r>
              <w:rPr>
                <w:rFonts w:hint="eastAsia" w:eastAsia="仿宋_GB2312"/>
                <w:sz w:val="24"/>
                <w:szCs w:val="24"/>
                <w:lang w:val="en-US" w:eastAsia="zh-CN"/>
              </w:rPr>
              <w:t>规划和改造工程已全部完成并投入使用。</w:t>
            </w:r>
          </w:p>
          <w:p>
            <w:pPr>
              <w:spacing w:line="0" w:lineRule="atLeast"/>
              <w:jc w:val="left"/>
              <w:rPr>
                <w:rFonts w:hint="eastAsia" w:eastAsia="仿宋_GB2312"/>
                <w:sz w:val="24"/>
                <w:szCs w:val="24"/>
                <w:lang w:val="en-US" w:eastAsia="zh-CN"/>
              </w:rPr>
            </w:pPr>
            <w:r>
              <w:rPr>
                <w:rFonts w:hint="eastAsia"/>
                <w:sz w:val="24"/>
                <w:szCs w:val="24"/>
                <w:lang w:val="en-US" w:eastAsia="zh-CN"/>
              </w:rPr>
              <w:t>2、</w:t>
            </w:r>
            <w:r>
              <w:rPr>
                <w:rFonts w:hint="eastAsia" w:eastAsia="仿宋_GB2312"/>
                <w:sz w:val="24"/>
                <w:szCs w:val="24"/>
                <w:lang w:val="en-US" w:eastAsia="zh-CN"/>
              </w:rPr>
              <w:t>预防接种门诊数字化建设设备和智能冰箱已完成建设并投入使用。</w:t>
            </w:r>
          </w:p>
          <w:p>
            <w:pPr>
              <w:spacing w:line="0" w:lineRule="atLeast"/>
              <w:jc w:val="left"/>
              <w:rPr>
                <w:rFonts w:hint="eastAsia" w:eastAsia="仿宋_GB2312"/>
                <w:sz w:val="24"/>
                <w:lang w:val="en-US" w:eastAsia="zh-CN"/>
              </w:rPr>
            </w:pPr>
            <w:r>
              <w:rPr>
                <w:rFonts w:hint="eastAsia"/>
                <w:sz w:val="24"/>
                <w:szCs w:val="24"/>
                <w:lang w:val="en-US" w:eastAsia="zh-CN"/>
              </w:rPr>
              <w:t>3、</w:t>
            </w:r>
            <w:r>
              <w:rPr>
                <w:rFonts w:hint="eastAsia" w:eastAsia="仿宋_GB2312"/>
                <w:sz w:val="24"/>
                <w:szCs w:val="24"/>
                <w:lang w:val="en-US" w:eastAsia="zh-CN"/>
              </w:rPr>
              <w:t>市疾控中心冷库和18家预防接种门诊后补式冷库已完成建设并投入使用；冷藏车已到位并上牌，冷藏箱已到位并投入使用。</w:t>
            </w:r>
          </w:p>
        </w:tc>
        <w:tc>
          <w:tcPr>
            <w:tcW w:w="1117"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tbl>
      <w:tblPr>
        <w:tblStyle w:val="5"/>
        <w:tblpPr w:leftFromText="180" w:rightFromText="180" w:vertAnchor="text" w:horzAnchor="page" w:tblpX="1336" w:tblpY="117"/>
        <w:tblOverlap w:val="never"/>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813"/>
        <w:gridCol w:w="1833"/>
        <w:gridCol w:w="1633"/>
        <w:gridCol w:w="3417"/>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81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4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tc>
        <w:tc>
          <w:tcPr>
            <w:tcW w:w="481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83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341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083" w:type="dxa"/>
            <w:vMerge w:val="continue"/>
            <w:tcBorders>
              <w:left w:val="single" w:color="auto" w:sz="4" w:space="0"/>
              <w:right w:val="single" w:color="auto" w:sz="4" w:space="0"/>
            </w:tcBorders>
            <w:noWrap w:val="0"/>
            <w:vAlign w:val="center"/>
          </w:tcPr>
          <w:p>
            <w:pPr>
              <w:spacing w:line="0" w:lineRule="atLeast"/>
              <w:jc w:val="center"/>
              <w:rPr>
                <w:rFonts w:eastAsia="黑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tc>
        <w:tc>
          <w:tcPr>
            <w:tcW w:w="481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83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341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083" w:type="dxa"/>
            <w:vMerge w:val="continue"/>
            <w:tcBorders>
              <w:left w:val="single" w:color="auto" w:sz="4" w:space="0"/>
              <w:right w:val="single" w:color="auto" w:sz="4" w:space="0"/>
            </w:tcBorders>
            <w:noWrap w:val="0"/>
            <w:vAlign w:val="center"/>
          </w:tcPr>
          <w:p>
            <w:pPr>
              <w:spacing w:line="0" w:lineRule="atLeast"/>
              <w:jc w:val="center"/>
              <w:rPr>
                <w:rFonts w:eastAsia="黑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0" w:type="dxa"/>
            <w:vMerge w:val="continue"/>
            <w:tcBorders>
              <w:left w:val="single" w:color="auto" w:sz="4" w:space="0"/>
              <w:right w:val="single" w:color="auto" w:sz="4" w:space="0"/>
            </w:tcBorders>
            <w:noWrap w:val="0"/>
            <w:vAlign w:val="center"/>
          </w:tcPr>
          <w:p>
            <w:pPr>
              <w:spacing w:line="0" w:lineRule="atLeast"/>
              <w:rPr>
                <w:sz w:val="24"/>
              </w:rPr>
            </w:pPr>
          </w:p>
        </w:tc>
        <w:tc>
          <w:tcPr>
            <w:tcW w:w="4813" w:type="dxa"/>
            <w:vMerge w:val="continue"/>
            <w:tcBorders>
              <w:left w:val="single" w:color="auto" w:sz="4" w:space="0"/>
              <w:right w:val="single" w:color="auto" w:sz="4" w:space="0"/>
            </w:tcBorders>
            <w:noWrap w:val="0"/>
            <w:vAlign w:val="center"/>
          </w:tcPr>
          <w:p>
            <w:pPr>
              <w:spacing w:line="0" w:lineRule="atLeast"/>
              <w:rPr>
                <w:sz w:val="24"/>
              </w:rPr>
            </w:pPr>
          </w:p>
        </w:tc>
        <w:tc>
          <w:tcPr>
            <w:tcW w:w="18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417" w:type="dxa"/>
            <w:vMerge w:val="continue"/>
            <w:tcBorders>
              <w:left w:val="single" w:color="auto" w:sz="4" w:space="0"/>
              <w:right w:val="single" w:color="auto" w:sz="4" w:space="0"/>
            </w:tcBorders>
            <w:noWrap w:val="0"/>
            <w:vAlign w:val="center"/>
          </w:tcPr>
          <w:p>
            <w:pPr>
              <w:spacing w:line="0" w:lineRule="atLeast"/>
              <w:rPr>
                <w:sz w:val="24"/>
              </w:rPr>
            </w:pPr>
          </w:p>
        </w:tc>
        <w:tc>
          <w:tcPr>
            <w:tcW w:w="108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1190"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优化交通基础设施</w:t>
            </w:r>
          </w:p>
        </w:tc>
        <w:tc>
          <w:tcPr>
            <w:tcW w:w="4813"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改善城乡生产生活条件，完成</w:t>
            </w:r>
            <w:r>
              <w:rPr>
                <w:rFonts w:hint="eastAsia" w:hAnsi="仿宋_GB2312"/>
                <w:sz w:val="24"/>
                <w:lang w:val="en-US" w:eastAsia="zh-CN"/>
              </w:rPr>
              <w:t>100公里农村公路提档升级，其中我市任务里程为39.916公里。</w:t>
            </w:r>
            <w:r>
              <w:rPr>
                <w:rFonts w:hint="eastAsia"/>
                <w:sz w:val="24"/>
              </w:rPr>
              <w:t>▲</w:t>
            </w:r>
          </w:p>
        </w:tc>
        <w:tc>
          <w:tcPr>
            <w:tcW w:w="1833"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市交通运输局</w:t>
            </w:r>
          </w:p>
        </w:tc>
        <w:tc>
          <w:tcPr>
            <w:tcW w:w="163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3417"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2020年8月已全面完工。</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1190"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813"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sz w:val="24"/>
                <w:lang w:eastAsia="zh-CN"/>
              </w:rPr>
              <w:t>改造影响人民群众出行安全的阳春市大寨桥、南山桥等</w:t>
            </w:r>
            <w:r>
              <w:rPr>
                <w:rFonts w:hint="eastAsia"/>
                <w:sz w:val="24"/>
                <w:lang w:val="en-US" w:eastAsia="zh-CN"/>
              </w:rPr>
              <w:t>10座危桥，其中</w:t>
            </w:r>
            <w:r>
              <w:rPr>
                <w:rFonts w:hint="eastAsia"/>
                <w:sz w:val="24"/>
                <w:lang w:eastAsia="zh-CN"/>
              </w:rPr>
              <w:t>我市任务是</w:t>
            </w:r>
            <w:r>
              <w:rPr>
                <w:sz w:val="24"/>
              </w:rPr>
              <w:t>完成南山桥、下枧桥、河背桥、巷口桥、那漓桥、石湾桥6座危桥改造工程</w:t>
            </w:r>
            <w:r>
              <w:rPr>
                <w:rFonts w:hint="eastAsia"/>
                <w:sz w:val="24"/>
                <w:lang w:eastAsia="zh-CN"/>
              </w:rPr>
              <w:t>。</w:t>
            </w:r>
            <w:r>
              <w:rPr>
                <w:rFonts w:hint="eastAsia"/>
                <w:sz w:val="24"/>
              </w:rPr>
              <w:t>▲</w:t>
            </w:r>
          </w:p>
        </w:tc>
        <w:tc>
          <w:tcPr>
            <w:tcW w:w="1833"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市交通运输局</w:t>
            </w:r>
          </w:p>
        </w:tc>
        <w:tc>
          <w:tcPr>
            <w:tcW w:w="163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3417"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val="en-US" w:eastAsia="zh-CN"/>
              </w:rPr>
              <w:t>2020年8月已全面完工。</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pPr w:leftFromText="180" w:rightFromText="180" w:vertAnchor="text" w:horzAnchor="page" w:tblpX="1336" w:tblpY="117"/>
        <w:tblOverlap w:val="never"/>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796"/>
        <w:gridCol w:w="1833"/>
        <w:gridCol w:w="1684"/>
        <w:gridCol w:w="33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民生事项</w:t>
            </w:r>
          </w:p>
        </w:tc>
        <w:tc>
          <w:tcPr>
            <w:tcW w:w="479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工作任务</w:t>
            </w:r>
          </w:p>
        </w:tc>
        <w:tc>
          <w:tcPr>
            <w:tcW w:w="18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责任单位</w:t>
            </w:r>
          </w:p>
        </w:tc>
        <w:tc>
          <w:tcPr>
            <w:tcW w:w="16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责任领导</w:t>
            </w:r>
          </w:p>
        </w:tc>
        <w:tc>
          <w:tcPr>
            <w:tcW w:w="33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进展情况</w:t>
            </w:r>
          </w:p>
        </w:tc>
        <w:tc>
          <w:tcPr>
            <w:tcW w:w="10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pacing w:val="-20"/>
                <w:sz w:val="24"/>
              </w:rPr>
            </w:pPr>
            <w:r>
              <w:rPr>
                <w:rFonts w:hint="default" w:ascii="Times New Roman" w:hAnsi="Times New Roman" w:eastAsia="黑体" w:cs="Times New Roman"/>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0"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p>
        </w:tc>
        <w:tc>
          <w:tcPr>
            <w:tcW w:w="4796"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p>
        </w:tc>
        <w:tc>
          <w:tcPr>
            <w:tcW w:w="1833"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p>
        </w:tc>
        <w:tc>
          <w:tcPr>
            <w:tcW w:w="1684"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p>
        </w:tc>
        <w:tc>
          <w:tcPr>
            <w:tcW w:w="3383"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p>
        </w:tc>
        <w:tc>
          <w:tcPr>
            <w:tcW w:w="1083"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0" w:hRule="atLeast"/>
        </w:trPr>
        <w:tc>
          <w:tcPr>
            <w:tcW w:w="11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提升政务便民服务</w:t>
            </w:r>
          </w:p>
        </w:tc>
        <w:tc>
          <w:tcPr>
            <w:tcW w:w="4796" w:type="dxa"/>
            <w:tcBorders>
              <w:left w:val="single" w:color="auto" w:sz="4" w:space="0"/>
              <w:right w:val="single" w:color="auto" w:sz="4" w:space="0"/>
            </w:tcBorders>
            <w:noWrap w:val="0"/>
            <w:vAlign w:val="center"/>
          </w:tcPr>
          <w:p>
            <w:pPr>
              <w:spacing w:line="2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阳江市公安局在全市54个派出所全面推广配置出入境自助办证一体机54台和在全市6个县（市）公安局、市公安局直属分局办证大厅和54个派出所全面推广配置好易自助服务终端（交通违法处理）78台，构建</w:t>
            </w:r>
            <w:r>
              <w:rPr>
                <w:rFonts w:hint="default" w:ascii="Times New Roman" w:hAnsi="Times New Roman" w:eastAsia="仿宋_GB2312" w:cs="Times New Roman"/>
                <w:sz w:val="24"/>
                <w:szCs w:val="24"/>
              </w:rPr>
              <w:t>全市遍及镇（街）的24小时自助便民服务区，满足群众办理公安业务的实际需求。</w:t>
            </w:r>
            <w:r>
              <w:rPr>
                <w:rFonts w:hint="default" w:ascii="Times New Roman" w:hAnsi="Times New Roman" w:eastAsia="仿宋_GB2312" w:cs="Times New Roman"/>
                <w:sz w:val="24"/>
                <w:szCs w:val="24"/>
                <w:lang w:val="en-US" w:eastAsia="zh-CN"/>
              </w:rPr>
              <w:t>其中</w:t>
            </w:r>
            <w:r>
              <w:rPr>
                <w:rFonts w:hint="default" w:ascii="Times New Roman" w:hAnsi="Times New Roman" w:cs="Times New Roman"/>
                <w:sz w:val="24"/>
                <w:szCs w:val="24"/>
                <w:lang w:val="en-US" w:eastAsia="zh-CN"/>
              </w:rPr>
              <w:t>：我</w:t>
            </w:r>
            <w:r>
              <w:rPr>
                <w:rFonts w:hint="default" w:ascii="Times New Roman" w:hAnsi="Times New Roman" w:eastAsia="仿宋_GB2312" w:cs="Times New Roman"/>
                <w:sz w:val="24"/>
                <w:szCs w:val="24"/>
                <w:lang w:val="en-US" w:eastAsia="zh-CN"/>
              </w:rPr>
              <w:t>市19个基层派出所出入境办证一体机19台和好易自助服务终端（交通违法处理）19台</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阳春市公安局办证大厅</w:t>
            </w:r>
            <w:r>
              <w:rPr>
                <w:rFonts w:hint="default" w:ascii="Times New Roman" w:hAnsi="Times New Roman" w:eastAsia="仿宋_GB2312" w:cs="Times New Roman"/>
                <w:sz w:val="24"/>
                <w:szCs w:val="24"/>
                <w:lang w:val="en-US" w:eastAsia="zh-CN"/>
              </w:rPr>
              <w:t>好易自助服务终端（交通违法处理）1台。</w:t>
            </w:r>
            <w:r>
              <w:rPr>
                <w:rFonts w:hint="default" w:ascii="Times New Roman" w:hAnsi="Times New Roman" w:cs="Times New Roman"/>
                <w:sz w:val="24"/>
              </w:rPr>
              <w:t>▲</w:t>
            </w:r>
          </w:p>
        </w:tc>
        <w:tc>
          <w:tcPr>
            <w:tcW w:w="1833" w:type="dxa"/>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市公安局</w:t>
            </w:r>
          </w:p>
        </w:tc>
        <w:tc>
          <w:tcPr>
            <w:tcW w:w="1684" w:type="dxa"/>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蔡传雄</w:t>
            </w:r>
          </w:p>
        </w:tc>
        <w:tc>
          <w:tcPr>
            <w:tcW w:w="3383" w:type="dxa"/>
            <w:tcBorders>
              <w:left w:val="single" w:color="auto" w:sz="4" w:space="0"/>
              <w:right w:val="single" w:color="auto" w:sz="4" w:space="0"/>
            </w:tcBorders>
            <w:noWrap w:val="0"/>
            <w:vAlign w:val="center"/>
          </w:tcPr>
          <w:p>
            <w:pPr>
              <w:numPr>
                <w:ilvl w:val="0"/>
                <w:numId w:val="0"/>
              </w:numPr>
              <w:spacing w:line="2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cs="Times New Roman"/>
                <w:sz w:val="24"/>
                <w:szCs w:val="24"/>
                <w:lang w:eastAsia="zh-CN"/>
              </w:rPr>
              <w:t>、</w:t>
            </w:r>
            <w:r>
              <w:rPr>
                <w:rFonts w:hint="default" w:ascii="Times New Roman" w:hAnsi="Times New Roman" w:eastAsia="仿宋_GB2312" w:cs="Times New Roman"/>
                <w:sz w:val="24"/>
                <w:szCs w:val="24"/>
              </w:rPr>
              <w:t>全市19个基层派出所均已设置24小时便民服务自助区。</w:t>
            </w:r>
          </w:p>
          <w:p>
            <w:pPr>
              <w:numPr>
                <w:ilvl w:val="0"/>
                <w:numId w:val="0"/>
              </w:numPr>
              <w:spacing w:line="2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cs="Times New Roman"/>
                <w:sz w:val="24"/>
                <w:szCs w:val="24"/>
                <w:lang w:eastAsia="zh-CN"/>
              </w:rPr>
              <w:t>、</w:t>
            </w:r>
            <w:r>
              <w:rPr>
                <w:rFonts w:hint="default" w:ascii="Times New Roman" w:hAnsi="Times New Roman" w:eastAsia="仿宋_GB2312" w:cs="Times New Roman"/>
                <w:sz w:val="24"/>
                <w:szCs w:val="24"/>
              </w:rPr>
              <w:t>阳江市财政局同意先拨付部分资金，阳江市公安局正在开展出入境自助办证一体机的招标工作，其中分配阳春市有8台，剩</w:t>
            </w:r>
            <w:r>
              <w:rPr>
                <w:rFonts w:hint="default" w:ascii="Times New Roman" w:hAnsi="Times New Roman" w:cs="Times New Roman"/>
                <w:sz w:val="24"/>
                <w:szCs w:val="24"/>
                <w:lang w:eastAsia="zh-CN"/>
              </w:rPr>
              <w:t>余</w:t>
            </w:r>
            <w:r>
              <w:rPr>
                <w:rFonts w:hint="default" w:ascii="Times New Roman" w:hAnsi="Times New Roman" w:eastAsia="仿宋_GB2312" w:cs="Times New Roman"/>
                <w:sz w:val="24"/>
                <w:szCs w:val="24"/>
              </w:rPr>
              <w:t>11台需阳春</w:t>
            </w:r>
            <w:r>
              <w:rPr>
                <w:rFonts w:hint="default" w:ascii="Times New Roman" w:hAnsi="Times New Roman" w:cs="Times New Roman"/>
                <w:sz w:val="24"/>
                <w:szCs w:val="24"/>
                <w:lang w:eastAsia="zh-CN"/>
              </w:rPr>
              <w:t>市</w:t>
            </w:r>
            <w:r>
              <w:rPr>
                <w:rFonts w:hint="default" w:ascii="Times New Roman" w:hAnsi="Times New Roman" w:eastAsia="仿宋_GB2312" w:cs="Times New Roman"/>
                <w:sz w:val="24"/>
                <w:szCs w:val="24"/>
              </w:rPr>
              <w:t>公安局自行解决。</w:t>
            </w:r>
          </w:p>
          <w:p>
            <w:pPr>
              <w:numPr>
                <w:ilvl w:val="0"/>
                <w:numId w:val="0"/>
              </w:numPr>
              <w:spacing w:line="240" w:lineRule="exact"/>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3、</w:t>
            </w:r>
            <w:r>
              <w:rPr>
                <w:rFonts w:hint="default" w:ascii="Times New Roman" w:hAnsi="Times New Roman" w:eastAsia="仿宋_GB2312" w:cs="Times New Roman"/>
                <w:sz w:val="24"/>
                <w:szCs w:val="24"/>
              </w:rPr>
              <w:t>好易自助服务终端尚待阳江市</w:t>
            </w:r>
            <w:r>
              <w:rPr>
                <w:rFonts w:hint="eastAsia" w:ascii="Times New Roman" w:hAnsi="Times New Roman" w:cs="Times New Roman"/>
                <w:sz w:val="24"/>
                <w:szCs w:val="24"/>
                <w:lang w:eastAsia="zh-CN"/>
              </w:rPr>
              <w:t>公安</w:t>
            </w:r>
            <w:r>
              <w:rPr>
                <w:rFonts w:hint="default" w:ascii="Times New Roman" w:hAnsi="Times New Roman" w:eastAsia="仿宋_GB2312" w:cs="Times New Roman"/>
                <w:sz w:val="24"/>
                <w:szCs w:val="24"/>
              </w:rPr>
              <w:t>局后续推进落实。</w:t>
            </w:r>
          </w:p>
        </w:tc>
        <w:tc>
          <w:tcPr>
            <w:tcW w:w="108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pacing w:val="-20"/>
                <w:sz w:val="24"/>
                <w:szCs w:val="24"/>
                <w:lang w:val="en-US" w:eastAsia="zh-CN"/>
              </w:rPr>
            </w:pPr>
            <w:r>
              <w:rPr>
                <w:rFonts w:hint="default" w:ascii="Times New Roman" w:hAnsi="Times New Roman" w:cs="Times New Roman"/>
                <w:spacing w:val="-20"/>
                <w:sz w:val="24"/>
                <w:szCs w:val="24"/>
                <w:lang w:val="en-US" w:eastAsia="zh-CN"/>
              </w:rPr>
              <w:t>75%</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5"/>
        <w:tblpPr w:leftFromText="180" w:rightFromText="180" w:vertAnchor="text" w:horzAnchor="page" w:tblpX="1336" w:tblpY="117"/>
        <w:tblOverlap w:val="never"/>
        <w:tblW w:w="13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667"/>
        <w:gridCol w:w="1883"/>
        <w:gridCol w:w="1667"/>
        <w:gridCol w:w="33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8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6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3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86" w:type="dxa"/>
            <w:vMerge w:val="continue"/>
            <w:tcBorders>
              <w:left w:val="single" w:color="auto" w:sz="4" w:space="0"/>
              <w:right w:val="single" w:color="auto" w:sz="4" w:space="0"/>
            </w:tcBorders>
            <w:noWrap w:val="0"/>
            <w:vAlign w:val="center"/>
          </w:tcPr>
          <w:p>
            <w:pPr>
              <w:spacing w:line="0" w:lineRule="atLeast"/>
              <w:rPr>
                <w:sz w:val="24"/>
              </w:rPr>
            </w:pPr>
          </w:p>
        </w:tc>
        <w:tc>
          <w:tcPr>
            <w:tcW w:w="4667" w:type="dxa"/>
            <w:vMerge w:val="continue"/>
            <w:tcBorders>
              <w:left w:val="single" w:color="auto" w:sz="4" w:space="0"/>
              <w:right w:val="single" w:color="auto" w:sz="4" w:space="0"/>
            </w:tcBorders>
            <w:noWrap w:val="0"/>
            <w:vAlign w:val="center"/>
          </w:tcPr>
          <w:p>
            <w:pPr>
              <w:spacing w:line="0" w:lineRule="atLeast"/>
              <w:rPr>
                <w:sz w:val="24"/>
              </w:rPr>
            </w:pPr>
          </w:p>
        </w:tc>
        <w:tc>
          <w:tcPr>
            <w:tcW w:w="18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83" w:type="dxa"/>
            <w:vMerge w:val="continue"/>
            <w:tcBorders>
              <w:left w:val="single" w:color="auto" w:sz="4" w:space="0"/>
              <w:right w:val="single" w:color="auto" w:sz="4" w:space="0"/>
            </w:tcBorders>
            <w:noWrap w:val="0"/>
            <w:vAlign w:val="center"/>
          </w:tcPr>
          <w:p>
            <w:pPr>
              <w:spacing w:line="0" w:lineRule="atLeast"/>
              <w:rPr>
                <w:sz w:val="24"/>
              </w:rPr>
            </w:pPr>
          </w:p>
        </w:tc>
        <w:tc>
          <w:tcPr>
            <w:tcW w:w="108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86" w:type="dxa"/>
            <w:tcBorders>
              <w:left w:val="single" w:color="auto" w:sz="4" w:space="0"/>
              <w:right w:val="single" w:color="auto" w:sz="4" w:space="0"/>
            </w:tcBorders>
            <w:noWrap w:val="0"/>
            <w:vAlign w:val="center"/>
          </w:tcPr>
          <w:p>
            <w:pPr>
              <w:spacing w:line="0" w:lineRule="atLeast"/>
              <w:jc w:val="center"/>
              <w:rPr>
                <w:rFonts w:hint="eastAsia" w:hAnsi="仿宋_GB2312"/>
                <w:sz w:val="24"/>
                <w:lang w:eastAsia="zh-CN"/>
              </w:rPr>
            </w:pPr>
            <w:r>
              <w:rPr>
                <w:rFonts w:hint="eastAsia"/>
                <w:sz w:val="24"/>
                <w:lang w:val="en-US" w:eastAsia="zh-CN"/>
              </w:rPr>
              <w:t>深化“厕所革命”</w:t>
            </w:r>
          </w:p>
        </w:tc>
        <w:tc>
          <w:tcPr>
            <w:tcW w:w="4667" w:type="dxa"/>
            <w:tcBorders>
              <w:left w:val="single" w:color="auto" w:sz="4" w:space="0"/>
              <w:right w:val="single" w:color="auto" w:sz="4" w:space="0"/>
            </w:tcBorders>
            <w:noWrap w:val="0"/>
            <w:vAlign w:val="center"/>
          </w:tcPr>
          <w:p>
            <w:pPr>
              <w:spacing w:line="0" w:lineRule="atLeast"/>
              <w:jc w:val="both"/>
              <w:rPr>
                <w:rFonts w:hint="eastAsia" w:hAnsi="仿宋_GB2312"/>
                <w:sz w:val="24"/>
                <w:lang w:val="en-US" w:eastAsia="zh-CN"/>
              </w:rPr>
            </w:pPr>
            <w:r>
              <w:rPr>
                <w:rFonts w:hint="eastAsia" w:hAnsi="仿宋_GB2312"/>
                <w:sz w:val="24"/>
                <w:lang w:eastAsia="zh-CN"/>
              </w:rPr>
              <w:t>建设和改造</w:t>
            </w:r>
            <w:r>
              <w:rPr>
                <w:rFonts w:hint="eastAsia" w:hAnsi="仿宋_GB2312" w:eastAsia="仿宋_GB2312"/>
                <w:sz w:val="24"/>
                <w:lang w:eastAsia="zh-CN"/>
              </w:rPr>
              <w:t>阳春市45</w:t>
            </w:r>
            <w:r>
              <w:rPr>
                <w:rFonts w:hint="eastAsia" w:hAnsi="仿宋_GB2312"/>
                <w:sz w:val="24"/>
                <w:lang w:eastAsia="zh-CN"/>
              </w:rPr>
              <w:t>所</w:t>
            </w:r>
            <w:r>
              <w:rPr>
                <w:rFonts w:hint="eastAsia" w:hAnsi="仿宋_GB2312" w:eastAsia="仿宋_GB2312"/>
                <w:sz w:val="24"/>
                <w:lang w:eastAsia="zh-CN"/>
              </w:rPr>
              <w:t>中小学校厕所</w:t>
            </w:r>
            <w:r>
              <w:rPr>
                <w:rFonts w:hint="eastAsia"/>
                <w:sz w:val="24"/>
              </w:rPr>
              <w:t>▲</w:t>
            </w:r>
          </w:p>
        </w:tc>
        <w:tc>
          <w:tcPr>
            <w:tcW w:w="1883" w:type="dxa"/>
            <w:vMerge w:val="restart"/>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r>
              <w:rPr>
                <w:rFonts w:hint="eastAsia" w:hAnsi="仿宋_GB2312"/>
                <w:sz w:val="24"/>
                <w:lang w:val="en-US" w:eastAsia="zh-CN"/>
              </w:rPr>
              <w:t>市教育局</w:t>
            </w:r>
          </w:p>
        </w:tc>
        <w:tc>
          <w:tcPr>
            <w:tcW w:w="1667"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3383"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eastAsia" w:eastAsia="仿宋_GB2312"/>
                <w:sz w:val="24"/>
                <w:lang w:val="en-US" w:eastAsia="zh-CN"/>
              </w:rPr>
              <w:t>项目</w:t>
            </w:r>
            <w:r>
              <w:rPr>
                <w:rFonts w:hint="eastAsia"/>
                <w:sz w:val="24"/>
                <w:lang w:val="en-US" w:eastAsia="zh-CN"/>
              </w:rPr>
              <w:t>已完工，共</w:t>
            </w:r>
            <w:r>
              <w:rPr>
                <w:rFonts w:hint="eastAsia" w:eastAsia="仿宋_GB2312"/>
                <w:sz w:val="24"/>
                <w:lang w:val="en-US" w:eastAsia="zh-CN"/>
              </w:rPr>
              <w:t>增加厕位</w:t>
            </w:r>
            <w:r>
              <w:rPr>
                <w:rFonts w:hint="default"/>
                <w:sz w:val="24"/>
                <w:lang w:val="en-US" w:eastAsia="zh-CN"/>
              </w:rPr>
              <w:t>1138</w:t>
            </w:r>
            <w:r>
              <w:rPr>
                <w:rFonts w:hint="eastAsia" w:eastAsia="仿宋_GB2312"/>
                <w:sz w:val="24"/>
                <w:lang w:val="en-US" w:eastAsia="zh-CN"/>
              </w:rPr>
              <w:t>个</w:t>
            </w:r>
            <w:r>
              <w:rPr>
                <w:rFonts w:hint="eastAsia"/>
                <w:sz w:val="24"/>
                <w:lang w:val="en-US" w:eastAsia="zh-CN"/>
              </w:rPr>
              <w:t>。</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86"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提升教育发展水平</w:t>
            </w:r>
          </w:p>
        </w:tc>
        <w:tc>
          <w:tcPr>
            <w:tcW w:w="4667"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val="en-US" w:eastAsia="zh-CN"/>
              </w:rPr>
              <w:t>改扩建</w:t>
            </w:r>
            <w:r>
              <w:rPr>
                <w:rFonts w:hint="eastAsia" w:hAnsi="仿宋_GB2312" w:eastAsia="仿宋_GB2312"/>
                <w:sz w:val="24"/>
                <w:lang w:eastAsia="zh-CN"/>
              </w:rPr>
              <w:t>阳春市河西中心幼儿园</w:t>
            </w:r>
            <w:r>
              <w:rPr>
                <w:rFonts w:hint="eastAsia"/>
                <w:sz w:val="24"/>
              </w:rPr>
              <w:t>▲</w:t>
            </w:r>
          </w:p>
        </w:tc>
        <w:tc>
          <w:tcPr>
            <w:tcW w:w="1883"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p>
        </w:tc>
        <w:tc>
          <w:tcPr>
            <w:tcW w:w="1667"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3383" w:type="dxa"/>
            <w:tcBorders>
              <w:left w:val="single" w:color="auto" w:sz="4" w:space="0"/>
              <w:right w:val="single" w:color="auto" w:sz="4" w:space="0"/>
            </w:tcBorders>
            <w:noWrap w:val="0"/>
            <w:vAlign w:val="center"/>
          </w:tcPr>
          <w:p>
            <w:pPr>
              <w:spacing w:line="0" w:lineRule="atLeast"/>
              <w:jc w:val="center"/>
              <w:rPr>
                <w:rFonts w:hint="eastAsia" w:eastAsia="仿宋_GB2312"/>
                <w:sz w:val="24"/>
                <w:lang w:val="en-US" w:eastAsia="zh-CN"/>
              </w:rPr>
            </w:pPr>
            <w:r>
              <w:rPr>
                <w:rFonts w:hint="eastAsia"/>
                <w:sz w:val="24"/>
                <w:lang w:val="en-US" w:eastAsia="zh-CN"/>
              </w:rPr>
              <w:t>项目已完工。</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286"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667"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hAnsi="仿宋_GB2312"/>
                <w:sz w:val="24"/>
                <w:lang w:val="en-US" w:eastAsia="zh-CN"/>
              </w:rPr>
              <w:t>新建</w:t>
            </w:r>
            <w:r>
              <w:rPr>
                <w:rFonts w:hint="eastAsia" w:hAnsi="仿宋_GB2312" w:eastAsia="仿宋_GB2312"/>
                <w:sz w:val="24"/>
                <w:lang w:eastAsia="zh-CN"/>
              </w:rPr>
              <w:t>阳春市三甲镇中心幼儿园三圩分园</w:t>
            </w:r>
            <w:r>
              <w:rPr>
                <w:rFonts w:hint="eastAsia"/>
                <w:sz w:val="24"/>
              </w:rPr>
              <w:t>▲</w:t>
            </w:r>
          </w:p>
        </w:tc>
        <w:tc>
          <w:tcPr>
            <w:tcW w:w="1883"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p>
        </w:tc>
        <w:tc>
          <w:tcPr>
            <w:tcW w:w="1667"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3383" w:type="dxa"/>
            <w:tcBorders>
              <w:left w:val="single" w:color="auto" w:sz="4" w:space="0"/>
              <w:right w:val="single" w:color="auto" w:sz="4" w:space="0"/>
            </w:tcBorders>
            <w:noWrap w:val="0"/>
            <w:vAlign w:val="center"/>
          </w:tcPr>
          <w:p>
            <w:pPr>
              <w:spacing w:line="0" w:lineRule="atLeast"/>
              <w:jc w:val="left"/>
              <w:rPr>
                <w:sz w:val="24"/>
              </w:rPr>
            </w:pPr>
            <w:r>
              <w:rPr>
                <w:rFonts w:hint="eastAsia"/>
                <w:sz w:val="24"/>
              </w:rPr>
              <w:t>已审核项目建筑方案，正在办理项目工程规划许可证</w:t>
            </w:r>
            <w:r>
              <w:rPr>
                <w:rFonts w:hint="eastAsia"/>
                <w:sz w:val="24"/>
                <w:lang w:eastAsia="zh-CN"/>
              </w:rPr>
              <w:t>。</w:t>
            </w:r>
            <w:r>
              <w:rPr>
                <w:rFonts w:hint="eastAsia"/>
                <w:sz w:val="24"/>
                <w:lang w:val="en-US" w:eastAsia="zh-CN"/>
              </w:rPr>
              <w:t>完成投资</w:t>
            </w:r>
            <w:r>
              <w:rPr>
                <w:rFonts w:hint="default"/>
                <w:sz w:val="24"/>
                <w:lang w:val="en-US" w:eastAsia="zh-CN"/>
              </w:rPr>
              <w:t>20</w:t>
            </w:r>
            <w:r>
              <w:rPr>
                <w:rFonts w:hint="eastAsia"/>
                <w:sz w:val="24"/>
                <w:lang w:val="en-US" w:eastAsia="zh-CN"/>
              </w:rPr>
              <w:t>万元，占年度计划投资100万元的10%。</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default"/>
                <w:spacing w:val="-20"/>
                <w:sz w:val="24"/>
                <w:lang w:val="en-US" w:eastAsia="zh-CN"/>
              </w:rPr>
              <w:t>2</w:t>
            </w:r>
            <w:r>
              <w:rPr>
                <w:rFonts w:hint="eastAsia"/>
                <w:spacing w:val="-2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1286"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667"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hAnsi="仿宋_GB2312"/>
                <w:sz w:val="24"/>
                <w:lang w:val="en-US" w:eastAsia="zh-CN"/>
              </w:rPr>
              <w:t>改扩建</w:t>
            </w:r>
            <w:r>
              <w:rPr>
                <w:rFonts w:hint="eastAsia" w:hAnsi="仿宋_GB2312" w:eastAsia="仿宋_GB2312"/>
                <w:sz w:val="24"/>
              </w:rPr>
              <w:t>阳春市河西街道牛肚朗幼儿园</w:t>
            </w:r>
            <w:r>
              <w:rPr>
                <w:rFonts w:hint="eastAsia"/>
                <w:sz w:val="24"/>
              </w:rPr>
              <w:t>▲</w:t>
            </w:r>
          </w:p>
        </w:tc>
        <w:tc>
          <w:tcPr>
            <w:tcW w:w="1883"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p>
        </w:tc>
        <w:tc>
          <w:tcPr>
            <w:tcW w:w="1667"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3383" w:type="dxa"/>
            <w:tcBorders>
              <w:left w:val="single" w:color="auto" w:sz="4" w:space="0"/>
              <w:right w:val="single" w:color="auto" w:sz="4" w:space="0"/>
            </w:tcBorders>
            <w:noWrap w:val="0"/>
            <w:vAlign w:val="center"/>
          </w:tcPr>
          <w:p>
            <w:pPr>
              <w:spacing w:line="0" w:lineRule="atLeast"/>
              <w:jc w:val="left"/>
              <w:rPr>
                <w:sz w:val="24"/>
              </w:rPr>
            </w:pPr>
            <w:r>
              <w:rPr>
                <w:rFonts w:hint="eastAsia"/>
                <w:sz w:val="24"/>
              </w:rPr>
              <w:t>已完成教学楼室内装修工程，正在进行室外场地、校门、保健室等工程</w:t>
            </w:r>
            <w:r>
              <w:rPr>
                <w:rFonts w:hint="eastAsia"/>
                <w:sz w:val="24"/>
                <w:lang w:eastAsia="zh-CN"/>
              </w:rPr>
              <w:t>。</w:t>
            </w:r>
            <w:r>
              <w:rPr>
                <w:rFonts w:hint="eastAsia"/>
                <w:sz w:val="24"/>
                <w:lang w:val="en-US" w:eastAsia="zh-CN"/>
              </w:rPr>
              <w:t>完成投资1</w:t>
            </w:r>
            <w:r>
              <w:rPr>
                <w:rFonts w:hint="default"/>
                <w:sz w:val="24"/>
                <w:lang w:val="en-US" w:eastAsia="zh-CN"/>
              </w:rPr>
              <w:t>30</w:t>
            </w:r>
            <w:r>
              <w:rPr>
                <w:rFonts w:hint="eastAsia"/>
                <w:sz w:val="24"/>
                <w:lang w:val="en-US" w:eastAsia="zh-CN"/>
              </w:rPr>
              <w:t>万元，占年度计划投资185万元的</w:t>
            </w:r>
            <w:r>
              <w:rPr>
                <w:rFonts w:hint="default"/>
                <w:sz w:val="24"/>
                <w:lang w:val="en-US" w:eastAsia="zh-CN"/>
              </w:rPr>
              <w:t>70.27</w:t>
            </w:r>
            <w:r>
              <w:rPr>
                <w:rFonts w:hint="eastAsia"/>
                <w:sz w:val="24"/>
                <w:lang w:val="en-US" w:eastAsia="zh-CN"/>
              </w:rPr>
              <w:t>%。</w:t>
            </w:r>
          </w:p>
        </w:tc>
        <w:tc>
          <w:tcPr>
            <w:tcW w:w="108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default"/>
                <w:spacing w:val="-20"/>
                <w:sz w:val="24"/>
                <w:lang w:val="en-US" w:eastAsia="zh-CN"/>
              </w:rPr>
              <w:t>70.27</w:t>
            </w:r>
            <w:r>
              <w:rPr>
                <w:rFonts w:hint="eastAsia"/>
                <w:spacing w:val="-20"/>
                <w:sz w:val="24"/>
                <w:lang w:val="en-US" w:eastAsia="zh-CN"/>
              </w:rPr>
              <w:t>%</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5"/>
        <w:tblpPr w:leftFromText="180" w:rightFromText="180" w:vertAnchor="text" w:horzAnchor="page" w:tblpX="1336" w:tblpY="117"/>
        <w:tblOverlap w:val="never"/>
        <w:tblW w:w="13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2883"/>
        <w:gridCol w:w="2150"/>
        <w:gridCol w:w="1767"/>
        <w:gridCol w:w="4717"/>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386"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883"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2150"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767"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717"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33" w:type="dxa"/>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1386"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提高教育发展水平</w:t>
            </w:r>
          </w:p>
        </w:tc>
        <w:tc>
          <w:tcPr>
            <w:tcW w:w="2883"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sz w:val="24"/>
              </w:rPr>
              <w:t>开展助学工作，</w:t>
            </w:r>
            <w:r>
              <w:rPr>
                <w:rFonts w:hint="eastAsia"/>
                <w:sz w:val="24"/>
                <w:lang w:eastAsia="zh-CN"/>
              </w:rPr>
              <w:t>资助学生</w:t>
            </w:r>
            <w:r>
              <w:rPr>
                <w:rFonts w:hint="eastAsia"/>
                <w:sz w:val="24"/>
                <w:lang w:val="en-US" w:eastAsia="zh-CN"/>
              </w:rPr>
              <w:t>6万人次，其中：我市任务是</w:t>
            </w:r>
            <w:r>
              <w:rPr>
                <w:rFonts w:hint="eastAsia"/>
                <w:sz w:val="24"/>
              </w:rPr>
              <w:t>资助学生3.3786万人次</w:t>
            </w:r>
            <w:r>
              <w:rPr>
                <w:rFonts w:hint="eastAsia"/>
                <w:sz w:val="24"/>
                <w:lang w:eastAsia="zh-CN"/>
              </w:rPr>
              <w:t>。</w:t>
            </w:r>
            <w:r>
              <w:rPr>
                <w:rFonts w:hint="eastAsia"/>
                <w:sz w:val="24"/>
              </w:rPr>
              <w:t>▲</w:t>
            </w:r>
          </w:p>
        </w:tc>
        <w:tc>
          <w:tcPr>
            <w:tcW w:w="2150"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val="en-US" w:eastAsia="zh-CN"/>
              </w:rPr>
              <w:t>市教育局</w:t>
            </w:r>
          </w:p>
        </w:tc>
        <w:tc>
          <w:tcPr>
            <w:tcW w:w="1767"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4717" w:type="dxa"/>
            <w:tcBorders>
              <w:left w:val="single" w:color="auto" w:sz="4" w:space="0"/>
              <w:right w:val="single" w:color="auto" w:sz="4" w:space="0"/>
            </w:tcBorders>
            <w:noWrap w:val="0"/>
            <w:vAlign w:val="center"/>
          </w:tcPr>
          <w:p>
            <w:pPr>
              <w:numPr>
                <w:ilvl w:val="0"/>
                <w:numId w:val="0"/>
              </w:numPr>
              <w:spacing w:line="0" w:lineRule="atLeast"/>
              <w:jc w:val="left"/>
              <w:rPr>
                <w:rFonts w:hint="eastAsia"/>
                <w:color w:val="auto"/>
                <w:sz w:val="24"/>
                <w:szCs w:val="24"/>
              </w:rPr>
            </w:pPr>
            <w:r>
              <w:rPr>
                <w:rFonts w:hint="eastAsia"/>
                <w:color w:val="auto"/>
                <w:sz w:val="24"/>
                <w:szCs w:val="24"/>
                <w:lang w:val="en-US" w:eastAsia="zh-CN"/>
              </w:rPr>
              <w:t>1、</w:t>
            </w:r>
            <w:r>
              <w:rPr>
                <w:rFonts w:hint="eastAsia"/>
                <w:color w:val="auto"/>
                <w:sz w:val="24"/>
                <w:szCs w:val="24"/>
              </w:rPr>
              <w:t>已完成2020年建档立卡等家庭经济困难学生生活费、免学费补助等资助资金发放工作。其中2020年春季学期共资助了6424人，发放生活费补助资金1087.8万元，免学费人数674人，免学费金额84.25万元；2020年秋季学期共资助了6497人，发放生活费补助资金1108.15万元；免学费人数802人，免学费金额108.515万元。</w:t>
            </w:r>
          </w:p>
          <w:p>
            <w:pPr>
              <w:numPr>
                <w:ilvl w:val="0"/>
                <w:numId w:val="0"/>
              </w:numPr>
              <w:spacing w:line="0" w:lineRule="atLeast"/>
              <w:jc w:val="left"/>
              <w:rPr>
                <w:rFonts w:hint="eastAsia"/>
                <w:color w:val="auto"/>
                <w:sz w:val="24"/>
                <w:szCs w:val="24"/>
              </w:rPr>
            </w:pPr>
            <w:r>
              <w:rPr>
                <w:rFonts w:hint="eastAsia"/>
                <w:color w:val="auto"/>
                <w:sz w:val="24"/>
                <w:szCs w:val="24"/>
                <w:lang w:val="en-US" w:eastAsia="zh-CN"/>
              </w:rPr>
              <w:t>2、</w:t>
            </w:r>
            <w:r>
              <w:rPr>
                <w:rFonts w:hint="eastAsia"/>
                <w:color w:val="auto"/>
                <w:sz w:val="24"/>
                <w:szCs w:val="24"/>
              </w:rPr>
              <w:t>已完成2020年其他各阶段困难家庭学生资助工作。其中学前阶段资助7000人，共700万元；义务教育阶段寄宿生资助5379人，共612.875万元，非寄宿生资助4960人，共264.4125万元；普通高中国家助学金资助2965人，共593万元；中职国家助学金资助613人，共122.5万元；中职免学费资助3874人，共1356.7225万元。</w:t>
            </w:r>
          </w:p>
          <w:p>
            <w:pPr>
              <w:spacing w:line="0" w:lineRule="atLeast"/>
              <w:jc w:val="left"/>
              <w:rPr>
                <w:rFonts w:hint="eastAsia"/>
                <w:color w:val="auto"/>
                <w:sz w:val="24"/>
                <w:szCs w:val="24"/>
              </w:rPr>
            </w:pPr>
            <w:r>
              <w:rPr>
                <w:rFonts w:hint="eastAsia"/>
                <w:color w:val="auto"/>
                <w:sz w:val="24"/>
                <w:szCs w:val="24"/>
                <w:lang w:val="en-US" w:eastAsia="zh-CN"/>
              </w:rPr>
              <w:t>3、</w:t>
            </w:r>
            <w:r>
              <w:rPr>
                <w:rFonts w:hint="eastAsia"/>
                <w:color w:val="auto"/>
                <w:sz w:val="24"/>
                <w:szCs w:val="24"/>
              </w:rPr>
              <w:t>开展“学子献爱心”资助家庭经济困难大学生活动、共资助大学生45人，资助资金22.5万元。</w:t>
            </w:r>
          </w:p>
          <w:p>
            <w:pPr>
              <w:spacing w:line="0" w:lineRule="atLeast"/>
              <w:jc w:val="left"/>
              <w:rPr>
                <w:sz w:val="24"/>
              </w:rPr>
            </w:pPr>
            <w:r>
              <w:rPr>
                <w:rFonts w:hint="eastAsia"/>
                <w:color w:val="auto"/>
                <w:sz w:val="24"/>
                <w:szCs w:val="24"/>
                <w:lang w:val="en-US" w:eastAsia="zh-CN"/>
              </w:rPr>
              <w:t>4、</w:t>
            </w:r>
            <w:r>
              <w:rPr>
                <w:rFonts w:hint="eastAsia"/>
                <w:color w:val="auto"/>
                <w:sz w:val="24"/>
                <w:szCs w:val="24"/>
              </w:rPr>
              <w:t>为2479名困难大学生办理了生源地信用助学贷款，金额合计1991.963万元</w:t>
            </w:r>
            <w:r>
              <w:rPr>
                <w:rFonts w:hint="eastAsia"/>
                <w:color w:val="0000FF"/>
                <w:sz w:val="24"/>
                <w:szCs w:val="24"/>
              </w:rPr>
              <w:t>。</w:t>
            </w:r>
          </w:p>
        </w:tc>
        <w:tc>
          <w:tcPr>
            <w:tcW w:w="1033" w:type="dxa"/>
            <w:tcBorders>
              <w:left w:val="single" w:color="auto" w:sz="4" w:space="0"/>
              <w:right w:val="single" w:color="auto" w:sz="4" w:space="0"/>
            </w:tcBorders>
            <w:noWrap w:val="0"/>
            <w:vAlign w:val="center"/>
          </w:tcPr>
          <w:p>
            <w:pPr>
              <w:spacing w:line="0" w:lineRule="atLeast"/>
              <w:jc w:val="center"/>
              <w:rPr>
                <w:rFonts w:hint="eastAsia"/>
                <w:color w:val="auto"/>
                <w:sz w:val="24"/>
                <w:szCs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sectPr>
      <w:headerReference r:id="rId5" w:type="first"/>
      <w:footerReference r:id="rId8" w:type="first"/>
      <w:headerReference r:id="rId3" w:type="default"/>
      <w:footerReference r:id="rId6" w:type="default"/>
      <w:headerReference r:id="rId4" w:type="even"/>
      <w:footerReference r:id="rId7" w:type="even"/>
      <w:pgSz w:w="16443" w:h="11907" w:orient="landscape"/>
      <w:pgMar w:top="1474" w:right="1418" w:bottom="1247" w:left="1418" w:header="851" w:footer="1247" w:gutter="0"/>
      <w:cols w:space="720" w:num="1"/>
      <w:docGrid w:type="lines" w:linePitch="561"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57" w:wrap="around" w:vAnchor="text" w:hAnchor="page" w:x="13786" w:yAlign="bottom"/>
      <w:tabs>
        <w:tab w:val="left" w:pos="900"/>
      </w:tabs>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２</w:t>
    </w:r>
    <w:r>
      <w:rPr>
        <w:rFonts w:ascii="宋体" w:hAnsi="宋体"/>
        <w:sz w:val="28"/>
        <w:szCs w:val="28"/>
      </w:rPr>
      <w:fldChar w:fldCharType="end"/>
    </w:r>
    <w:r>
      <w:rPr>
        <w:rStyle w:val="7"/>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57" w:wrap="around" w:vAnchor="text" w:hAnchor="page" w:x="1632" w:y="3"/>
      <w:tabs>
        <w:tab w:val="left" w:pos="900"/>
      </w:tabs>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１７</w:t>
    </w:r>
    <w:r>
      <w:rPr>
        <w:rFonts w:ascii="宋体" w:hAnsi="宋体"/>
        <w:sz w:val="28"/>
        <w:szCs w:val="28"/>
      </w:rPr>
      <w:fldChar w:fldCharType="end"/>
    </w:r>
    <w:r>
      <w:rPr>
        <w:rStyle w:val="7"/>
        <w:rFonts w:hint="eastAsia" w:ascii="宋体" w:hAnsi="宋体"/>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A63"/>
    <w:multiLevelType w:val="singleLevel"/>
    <w:tmpl w:val="372C4A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90AEE"/>
    <w:rsid w:val="33C958ED"/>
    <w:rsid w:val="4B890A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2021-01-22T08:04:00Z</dcterms:created>
  <dc:creator>Administrator</dc:creator>
  <cp:lastModifiedBy>Administrator</cp:lastModifiedBy>
  <dcterms:modified xsi:type="dcterms:W3CDTF">2021-01-26T01:27:39Z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