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阳环（春）河口审〔</w:t>
      </w:r>
      <w:r>
        <w:rPr>
          <w:rFonts w:hint="eastAsia" w:ascii="仿宋_GB2312" w:hAnsi="仿宋_GB2312" w:eastAsia="仿宋_GB2312" w:cs="仿宋_GB2312"/>
          <w:sz w:val="32"/>
          <w:szCs w:val="32"/>
          <w:lang w:val="en-US" w:eastAsia="zh-CN"/>
        </w:rPr>
        <w:t>2022〕1号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阳江市生态环境局关于阳春新钢铁有限责任</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公司入河排污口设置申请决定书</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阳春新钢铁有限责任公司：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你公司报送《入河排污口设置申请书》及《阳春新钢铁有限责任公司入河排污口设置论证报告》（以下简称《论证报告》），收悉。根据《中华人民共和国水污染防治法》、《中华人民共和国水法》、《入河排污口监督管理办法》（水利部22号令）等法律法规，经研究，决定准予阳春新钢铁有限责任公司入河排污口设置。请你公司按照以下要求做好入河排污口设置和管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0" w:leftChars="0" w:firstLine="64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入河排污口设置位置、排污方式和对排污口门的要求：公司生产废水均回用，不外排。生活污水经管网汇集后采用A3/O+MBBR一体化设备装置（地埋式）处理达标后，尾水通过线长约</w:t>
      </w:r>
      <w:r>
        <w:rPr>
          <w:rFonts w:hint="eastAsia" w:ascii="仿宋_GB2312" w:hAnsi="仿宋_GB2312" w:eastAsia="仿宋_GB2312" w:cs="仿宋_GB2312"/>
          <w:color w:val="auto"/>
          <w:sz w:val="32"/>
          <w:szCs w:val="32"/>
          <w:lang w:val="en-US" w:eastAsia="zh-CN"/>
        </w:rPr>
        <w:t>680m管道（内</w:t>
      </w:r>
      <w:r>
        <w:rPr>
          <w:rFonts w:hint="eastAsia" w:ascii="仿宋_GB2312" w:hAnsi="仿宋_GB2312" w:eastAsia="仿宋_GB2312" w:cs="仿宋_GB2312"/>
          <w:sz w:val="32"/>
          <w:szCs w:val="32"/>
          <w:lang w:val="en-US" w:eastAsia="zh-CN"/>
        </w:rPr>
        <w:t>径20cm）排入厂区外西侧小溪，汇入鲤鱼河，最后汇入潭水河。阳春新钢铁有限责任公司入河排污口位置位于厂区外西侧小溪，坐标为：E111°37′53.87″，N22°4′52.93 ，排放方式为连续排放。入河排污口应按照有关法律法规、技术规范等要求规范化设置，应便于采集样品、便于计量检测、便于日常现场监督检查，并规范设立入河排污口标志牌。</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0" w:leftChars="0" w:firstLine="640" w:firstLineChars="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废水排放量、主要污染物质的排放浓度及排放总量要求：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sectPr>
          <w:pgSz w:w="11906" w:h="16838"/>
          <w:pgMar w:top="2098" w:right="1474" w:bottom="1020" w:left="1587" w:header="851" w:footer="992" w:gutter="0"/>
          <w:pgNumType w:fmt="decimal"/>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入河排污口污水排放量为480m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/d，排放标准执行广东省地方标准《水污染物排放限值》（DB 44/26-2001）第二时段一级标准和《城镇污水处理厂污染物排放标准》（GB 18918-2002）一级A标准的较严值，主要污染物种类为CODcr、BOD</w:t>
      </w:r>
      <w:r>
        <w:rPr>
          <w:rFonts w:hint="eastAsia" w:ascii="仿宋_GB2312" w:hAnsi="仿宋_GB2312" w:eastAsia="仿宋_GB2312" w:cs="仿宋_GB2312"/>
          <w:sz w:val="32"/>
          <w:szCs w:val="32"/>
          <w:vertAlign w:val="subscript"/>
          <w:lang w:val="en-US" w:eastAsia="zh-CN"/>
        </w:rPr>
        <w:t>5</w:t>
      </w:r>
      <w:r>
        <w:rPr>
          <w:rFonts w:hint="eastAsia" w:ascii="仿宋_GB2312" w:hAnsi="仿宋_GB2312" w:eastAsia="仿宋_GB2312" w:cs="仿宋_GB2312"/>
          <w:sz w:val="32"/>
          <w:szCs w:val="32"/>
          <w:lang w:val="en-US" w:eastAsia="zh-CN"/>
        </w:rPr>
        <w:t>、SS、NH</w:t>
      </w:r>
      <w:r>
        <w:rPr>
          <w:rFonts w:hint="eastAsia" w:ascii="仿宋_GB2312" w:hAnsi="仿宋_GB2312" w:eastAsia="仿宋_GB2312" w:cs="仿宋_GB2312"/>
          <w:sz w:val="32"/>
          <w:szCs w:val="32"/>
          <w:vertAlign w:val="subscript"/>
          <w:lang w:val="en-US" w:eastAsia="zh-CN"/>
        </w:rPr>
        <w:t>3</w:t>
      </w:r>
      <w:r>
        <w:rPr>
          <w:rFonts w:hint="eastAsia" w:ascii="仿宋_GB2312" w:hAnsi="仿宋_GB2312" w:eastAsia="仿宋_GB2312" w:cs="仿宋_GB2312"/>
          <w:sz w:val="32"/>
          <w:szCs w:val="32"/>
          <w:lang w:val="en-US" w:eastAsia="zh-CN"/>
        </w:rPr>
        <w:t>-N和总氮，排放浓度分别为40mg/L、10mg/L、10mg/L、5mg/L、15mg/L,污染物排放总量为8.76t/a、1.75t/a、1.75t/a、0.88t/a和2.628t/a 。</w:t>
      </w:r>
      <w:bookmarkStart w:id="0" w:name="_GoBack"/>
      <w:bookmarkEnd w:id="0"/>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0" w:leftChars="0" w:firstLine="64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特别情况下对排污的限制要求：加强环境应急风险防范，制定并落实污染事故应急预案，强化应急演练和应急物资储备，防止发生突发环境事件，禁止将超标污水排入厂区外西侧的小溪。</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0" w:leftChars="0" w:firstLine="640" w:firstLineChars="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水资源保护措施要求：采取有效措施，强化厂区污水处理站运维管理，并加强水质监测，确保各项污染物稳定达标排放并符合总量控制要求；加强污水排放管道的维护和管理，避免发生污水泄漏。</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0" w:leftChars="0" w:firstLine="640" w:firstLineChars="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对建设项目入河排污口投入使用前的验收要求：入河排污口正式投入使用前须向阳江市生态环境局阳春分局申请该入河排污口设置验收，经验收合格后方可投入使用。入</w:t>
      </w:r>
      <w:r>
        <w:rPr>
          <w:rFonts w:hint="eastAsia" w:ascii="仿宋_GB2312" w:hAnsi="仿宋_GB2312" w:eastAsia="仿宋_GB2312" w:cs="仿宋_GB2312"/>
          <w:sz w:val="32"/>
          <w:szCs w:val="32"/>
          <w:lang w:val="en-US" w:eastAsia="zh-CN"/>
        </w:rPr>
        <w:t>河排污口位置、排放方式和建设方案发生变化的或入河废污水所含主要污染物种类及其排放浓度、排放总量发生变化的，应重新办理入河排污口设置行政许可手续。</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0" w:leftChars="0" w:firstLine="640" w:firstLineChars="0"/>
        <w:jc w:val="both"/>
        <w:textAlignment w:val="auto"/>
        <w:rPr>
          <w:rFonts w:hint="default" w:ascii="仿宋_GB2312" w:hAnsi="仿宋_GB2312" w:eastAsia="仿宋_GB2312" w:cs="仿宋_GB2312"/>
          <w:sz w:val="32"/>
          <w:szCs w:val="32"/>
          <w:lang w:val="en-US" w:eastAsia="zh-CN"/>
        </w:rPr>
        <w:sectPr>
          <w:footerReference r:id="rId3" w:type="default"/>
          <w:pgSz w:w="11906" w:h="16838"/>
          <w:pgMar w:top="2098" w:right="1474" w:bottom="1020" w:left="1587" w:header="851" w:footer="992" w:gutter="0"/>
          <w:pgNumType w:fmt="decimal"/>
          <w:cols w:space="425" w:num="1"/>
          <w:docGrid w:type="lines" w:linePitch="312" w:charSpace="0"/>
        </w:sectPr>
      </w:pPr>
      <w:r>
        <w:rPr>
          <w:rFonts w:hint="eastAsia" w:ascii="仿宋_GB2312" w:hAnsi="仿宋_GB2312" w:eastAsia="仿宋_GB2312" w:cs="仿宋_GB2312"/>
          <w:sz w:val="32"/>
          <w:szCs w:val="32"/>
          <w:lang w:val="en-US" w:eastAsia="zh-CN"/>
        </w:rPr>
        <w:t>监测数据报送要求：你公司应在每年2月1日前，向阳江市生态环境局阳春分局报送上年度入河排污口使用情况和水质监测报表，报表中的水质数据应委托有资质认定资格的水质监测机构监测。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0" w:leftChars="0" w:firstLine="640" w:firstLineChars="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其他未尽事宜，以有关法律法规为准。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阳江市生态环境局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2022年10月19日</w:t>
      </w: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924"/>
        </w:tabs>
        <w:bidi w:val="0"/>
        <w:jc w:val="left"/>
        <w:rPr>
          <w:rFonts w:hint="default"/>
          <w:lang w:val="en-US" w:eastAsia="zh-CN"/>
        </w:rPr>
      </w:pPr>
      <w:r>
        <w:rPr>
          <w:rFonts w:hint="eastAsia"/>
          <w:lang w:val="en-US" w:eastAsia="zh-CN"/>
        </w:rPr>
        <w:tab/>
      </w:r>
    </w:p>
    <w:sectPr>
      <w:footerReference r:id="rId4" w:type="default"/>
      <w:pgSz w:w="11906" w:h="16838"/>
      <w:pgMar w:top="2098" w:right="1474" w:bottom="102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eiryo UI">
    <w:panose1 w:val="020B0604030504040204"/>
    <w:charset w:val="80"/>
    <w:family w:val="auto"/>
    <w:pitch w:val="default"/>
    <w:sig w:usb0="E10102FF" w:usb1="EAC7FFFF" w:usb2="00010012" w:usb3="00000000" w:csb0="6002009F" w:csb1="DFD70000"/>
  </w:font>
  <w:font w:name="MS PMincho">
    <w:panose1 w:val="02020600040205080304"/>
    <w:charset w:val="80"/>
    <w:family w:val="auto"/>
    <w:pitch w:val="default"/>
    <w:sig w:usb0="E00002FF" w:usb1="6AC7FDFB" w:usb2="00000012" w:usb3="00000000" w:csb0="4002009F" w:csb1="DFD70000"/>
  </w:font>
  <w:font w:name="Aparajita">
    <w:panose1 w:val="020B0604020202020204"/>
    <w:charset w:val="00"/>
    <w:family w:val="auto"/>
    <w:pitch w:val="default"/>
    <w:sig w:usb0="00008003" w:usb1="00000000" w:usb2="00000000" w:usb3="00000000" w:csb0="00000001" w:csb1="00000000"/>
  </w:font>
  <w:font w:name="Calibri Light">
    <w:panose1 w:val="020F0302020204030204"/>
    <w:charset w:val="00"/>
    <w:family w:val="auto"/>
    <w:pitch w:val="default"/>
    <w:sig w:usb0="A00002EF" w:usb1="4000207B" w:usb2="00000000" w:usb3="00000000" w:csb0="2000019F" w:csb1="00000000"/>
  </w:font>
  <w:font w:name="Cordia New">
    <w:panose1 w:val="020B0304020202020204"/>
    <w:charset w:val="00"/>
    <w:family w:val="auto"/>
    <w:pitch w:val="default"/>
    <w:sig w:usb0="81000003" w:usb1="00000000" w:usb2="00000000" w:usb3="00000000" w:csb0="00010001" w:csb1="00000000"/>
  </w:font>
  <w:font w:name="Kalinga">
    <w:panose1 w:val="020B0502040204020203"/>
    <w:charset w:val="00"/>
    <w:family w:val="auto"/>
    <w:pitch w:val="default"/>
    <w:sig w:usb0="00080003" w:usb1="00000000" w:usb2="00000000" w:usb3="00000000" w:csb0="00000001" w:csb1="00000000"/>
  </w:font>
  <w:font w:name="Latha">
    <w:panose1 w:val="020B0604020202020204"/>
    <w:charset w:val="00"/>
    <w:family w:val="auto"/>
    <w:pitch w:val="default"/>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5B3728"/>
    <w:multiLevelType w:val="singleLevel"/>
    <w:tmpl w:val="B45B3728"/>
    <w:lvl w:ilvl="0" w:tentative="0">
      <w:start w:val="1"/>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NDBkMWQ4ODgwZGJjMTZkMmY4NzM3ZTI2ODdhZDYifQ=="/>
  </w:docVars>
  <w:rsids>
    <w:rsidRoot w:val="6FA967FD"/>
    <w:rsid w:val="005E1527"/>
    <w:rsid w:val="02B23EDB"/>
    <w:rsid w:val="02BB4F8D"/>
    <w:rsid w:val="0A3E0BC1"/>
    <w:rsid w:val="0C3E500B"/>
    <w:rsid w:val="12F36A14"/>
    <w:rsid w:val="165878EE"/>
    <w:rsid w:val="19235889"/>
    <w:rsid w:val="1B7C6776"/>
    <w:rsid w:val="22241B00"/>
    <w:rsid w:val="2273006A"/>
    <w:rsid w:val="2287284E"/>
    <w:rsid w:val="251E609F"/>
    <w:rsid w:val="27FD4262"/>
    <w:rsid w:val="30B50528"/>
    <w:rsid w:val="33386686"/>
    <w:rsid w:val="34467865"/>
    <w:rsid w:val="35E6631F"/>
    <w:rsid w:val="393C3CF7"/>
    <w:rsid w:val="3A3519D1"/>
    <w:rsid w:val="409E3FA3"/>
    <w:rsid w:val="471E2976"/>
    <w:rsid w:val="48A66EB4"/>
    <w:rsid w:val="4A173F16"/>
    <w:rsid w:val="4C2048FB"/>
    <w:rsid w:val="4E724E21"/>
    <w:rsid w:val="57323268"/>
    <w:rsid w:val="58A92C77"/>
    <w:rsid w:val="58BC0970"/>
    <w:rsid w:val="5BAF6C35"/>
    <w:rsid w:val="5C4E0695"/>
    <w:rsid w:val="63045833"/>
    <w:rsid w:val="64041AE8"/>
    <w:rsid w:val="649B069F"/>
    <w:rsid w:val="6D6A6E60"/>
    <w:rsid w:val="6FA967FD"/>
    <w:rsid w:val="749A646D"/>
    <w:rsid w:val="750B0244"/>
    <w:rsid w:val="75227685"/>
    <w:rsid w:val="76BD4BB7"/>
    <w:rsid w:val="77A939FA"/>
    <w:rsid w:val="7D2117F9"/>
    <w:rsid w:val="7DD338F9"/>
    <w:rsid w:val="7F405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1041</Words>
  <Characters>1172</Characters>
  <Lines>0</Lines>
  <Paragraphs>0</Paragraphs>
  <TotalTime>4</TotalTime>
  <ScaleCrop>false</ScaleCrop>
  <LinksUpToDate>false</LinksUpToDate>
  <CharactersWithSpaces>1179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2022-10-19T07:19:00Z</dcterms:created>
  <dc:creator>梁金莲</dc:creator>
  <cp:lastModifiedBy>L</cp:lastModifiedBy>
  <cp:lastPrinted>2022-10-26T07:27:55Z</cp:lastPrinted>
  <dcterms:modified xsi:type="dcterms:W3CDTF">2022-10-26T07:38:45Z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7332CDFCEA514DE88A320291C483DA89</vt:lpwstr>
  </property>
</Properties>
</file>