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B11" w:rsidRPr="00F02BFB" w:rsidRDefault="00534B11">
      <w:pPr>
        <w:rPr>
          <w:rFonts w:ascii="仿宋_GB2312" w:eastAsia="仿宋_GB2312" w:hAnsi="方正小标宋简体" w:cs="方正小标宋简体"/>
          <w:sz w:val="32"/>
          <w:szCs w:val="32"/>
        </w:rPr>
      </w:pPr>
      <w:r w:rsidRPr="00F02BFB">
        <w:rPr>
          <w:rFonts w:ascii="仿宋_GB2312" w:eastAsia="仿宋_GB2312" w:hAnsi="方正小标宋简体" w:cs="方正小标宋简体" w:hint="eastAsia"/>
          <w:sz w:val="32"/>
          <w:szCs w:val="32"/>
        </w:rPr>
        <w:t>附件</w:t>
      </w:r>
      <w:r w:rsidRPr="00F02BFB">
        <w:rPr>
          <w:rFonts w:ascii="仿宋_GB2312" w:eastAsia="仿宋_GB2312" w:hAnsi="方正小标宋简体" w:cs="方正小标宋简体"/>
          <w:sz w:val="32"/>
          <w:szCs w:val="32"/>
        </w:rPr>
        <w:t>2</w:t>
      </w:r>
      <w:r w:rsidRPr="00F02BFB">
        <w:rPr>
          <w:rFonts w:ascii="仿宋_GB2312" w:eastAsia="仿宋_GB2312" w:hAnsi="方正小标宋简体" w:cs="方正小标宋简体" w:hint="eastAsia"/>
          <w:sz w:val="32"/>
          <w:szCs w:val="32"/>
        </w:rPr>
        <w:t>：</w:t>
      </w:r>
    </w:p>
    <w:p w:rsidR="00534B11" w:rsidRDefault="00534B11" w:rsidP="00F02BFB">
      <w:pPr>
        <w:spacing w:line="780" w:lineRule="exact"/>
        <w:jc w:val="center"/>
        <w:rPr>
          <w:rFonts w:ascii="方正小标宋简体" w:eastAsia="方正小标宋简体" w:hAnsi="方正小标宋简体" w:cs="方正小标宋简体"/>
          <w:b/>
          <w:bCs/>
          <w:sz w:val="44"/>
          <w:szCs w:val="44"/>
        </w:rPr>
      </w:pPr>
      <w:r w:rsidRPr="00F02BFB">
        <w:rPr>
          <w:rFonts w:ascii="方正小标宋简体" w:eastAsia="方正小标宋简体" w:hAnsi="方正小标宋简体" w:cs="方正小标宋简体" w:hint="eastAsia"/>
          <w:b/>
          <w:bCs/>
          <w:sz w:val="44"/>
          <w:szCs w:val="44"/>
        </w:rPr>
        <w:t>阳春市第二中学、阳春市实验中学电脑</w:t>
      </w:r>
    </w:p>
    <w:p w:rsidR="00534B11" w:rsidRPr="00F02BFB" w:rsidRDefault="00534B11" w:rsidP="00F02BFB">
      <w:pPr>
        <w:spacing w:line="780" w:lineRule="exact"/>
        <w:jc w:val="center"/>
        <w:rPr>
          <w:rFonts w:ascii="方正小标宋简体" w:eastAsia="方正小标宋简体" w:hAnsi="方正小标宋简体" w:cs="方正小标宋简体"/>
          <w:b/>
          <w:bCs/>
          <w:sz w:val="44"/>
          <w:szCs w:val="44"/>
        </w:rPr>
      </w:pPr>
      <w:r w:rsidRPr="00F02BFB">
        <w:rPr>
          <w:rFonts w:ascii="方正小标宋简体" w:eastAsia="方正小标宋简体" w:hAnsi="方正小标宋简体" w:cs="方正小标宋简体" w:hint="eastAsia"/>
          <w:b/>
          <w:bCs/>
          <w:sz w:val="44"/>
          <w:szCs w:val="44"/>
        </w:rPr>
        <w:t>随机派位招生录取实施方案</w:t>
      </w:r>
    </w:p>
    <w:p w:rsidR="00534B11" w:rsidRDefault="00534B11" w:rsidP="00F02BFB">
      <w:pPr>
        <w:spacing w:line="780" w:lineRule="exact"/>
        <w:rPr>
          <w:rFonts w:ascii="仿宋_GB2312" w:eastAsia="仿宋_GB2312" w:hAnsi="仿宋_GB2312" w:cs="仿宋_GB2312"/>
          <w:sz w:val="32"/>
          <w:szCs w:val="32"/>
        </w:rPr>
      </w:pP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为进一步贯彻落实《广东省教育厅关于进一步规范普通中小学招生入学工作的指导意见》《广东省义务教育阳光招生专项行动（</w:t>
      </w:r>
      <w:r>
        <w:rPr>
          <w:rFonts w:ascii="仿宋_GB2312" w:eastAsia="仿宋_GB2312" w:hAnsi="仿宋_GB2312" w:cs="仿宋_GB2312"/>
          <w:sz w:val="32"/>
          <w:szCs w:val="32"/>
        </w:rPr>
        <w:t>2024</w:t>
      </w:r>
      <w:r>
        <w:rPr>
          <w:rFonts w:ascii="仿宋_GB2312" w:eastAsia="仿宋_GB2312" w:hAnsi="仿宋_GB2312" w:cs="仿宋_GB2312" w:hint="eastAsia"/>
          <w:sz w:val="32"/>
          <w:szCs w:val="32"/>
        </w:rPr>
        <w:t>）实施方案》等有关文件精神和工作要求，结合我市实际情况，阳春市第二中学、阳春市实验中学采取电脑随机派位的方式录取七年级（初中一年级）新生，为确保电脑随机派位工作公平、公开、公正，特制定本方案。</w:t>
      </w:r>
    </w:p>
    <w:p w:rsidR="00534B11" w:rsidRDefault="00534B11" w:rsidP="00726878">
      <w:pPr>
        <w:spacing w:line="660" w:lineRule="exact"/>
        <w:ind w:firstLineChars="200" w:firstLine="31680"/>
        <w:rPr>
          <w:rFonts w:ascii="仿宋_GB2312" w:eastAsia="仿宋_GB2312" w:hAnsi="仿宋_GB2312" w:cs="仿宋_GB2312"/>
          <w:sz w:val="32"/>
          <w:szCs w:val="32"/>
        </w:rPr>
      </w:pPr>
      <w:r w:rsidRPr="00F02BFB">
        <w:rPr>
          <w:rFonts w:ascii="黑体" w:eastAsia="黑体" w:hAnsi="黑体" w:cs="仿宋_GB2312" w:hint="eastAsia"/>
          <w:b/>
          <w:bCs/>
          <w:sz w:val="32"/>
          <w:szCs w:val="32"/>
        </w:rPr>
        <w:t>一、组织单位：</w:t>
      </w:r>
      <w:r>
        <w:rPr>
          <w:rFonts w:ascii="仿宋_GB2312" w:eastAsia="仿宋_GB2312" w:hAnsi="仿宋_GB2312" w:cs="仿宋_GB2312" w:hint="eastAsia"/>
          <w:sz w:val="32"/>
          <w:szCs w:val="32"/>
        </w:rPr>
        <w:t>阳春市教育局</w:t>
      </w:r>
    </w:p>
    <w:p w:rsidR="00534B11" w:rsidRDefault="00534B11" w:rsidP="00726878">
      <w:pPr>
        <w:spacing w:line="660" w:lineRule="exact"/>
        <w:ind w:firstLineChars="200" w:firstLine="31680"/>
        <w:rPr>
          <w:rFonts w:ascii="仿宋_GB2312" w:eastAsia="仿宋_GB2312" w:hAnsi="仿宋_GB2312" w:cs="仿宋_GB2312"/>
          <w:sz w:val="32"/>
          <w:szCs w:val="32"/>
        </w:rPr>
      </w:pPr>
      <w:r w:rsidRPr="00F02BFB">
        <w:rPr>
          <w:rFonts w:ascii="黑体" w:eastAsia="黑体" w:hAnsi="黑体" w:cs="仿宋_GB2312" w:hint="eastAsia"/>
          <w:b/>
          <w:bCs/>
          <w:sz w:val="32"/>
          <w:szCs w:val="32"/>
        </w:rPr>
        <w:t>二、派位学校：</w:t>
      </w:r>
      <w:r>
        <w:rPr>
          <w:rFonts w:ascii="仿宋_GB2312" w:eastAsia="仿宋_GB2312" w:hAnsi="仿宋_GB2312" w:cs="仿宋_GB2312" w:hint="eastAsia"/>
          <w:sz w:val="32"/>
          <w:szCs w:val="32"/>
        </w:rPr>
        <w:t>阳春市第二中学、阳春市实验中学</w:t>
      </w:r>
    </w:p>
    <w:p w:rsidR="00534B11" w:rsidRDefault="00534B11" w:rsidP="00726878">
      <w:pPr>
        <w:spacing w:line="660" w:lineRule="exact"/>
        <w:ind w:firstLineChars="200" w:firstLine="31680"/>
        <w:rPr>
          <w:rFonts w:ascii="仿宋_GB2312" w:eastAsia="仿宋_GB2312" w:hAnsi="仿宋_GB2312" w:cs="仿宋_GB2312"/>
          <w:sz w:val="32"/>
          <w:szCs w:val="32"/>
        </w:rPr>
      </w:pPr>
      <w:r w:rsidRPr="00F02BFB">
        <w:rPr>
          <w:rFonts w:ascii="黑体" w:eastAsia="黑体" w:hAnsi="黑体" w:cs="仿宋_GB2312" w:hint="eastAsia"/>
          <w:b/>
          <w:bCs/>
          <w:sz w:val="32"/>
          <w:szCs w:val="32"/>
        </w:rPr>
        <w:t>三、派位时间：</w:t>
      </w:r>
      <w:smartTag w:uri="urn:schemas-microsoft-com:office:smarttags" w:element="chsdate">
        <w:smartTagPr>
          <w:attr w:name="IsROCDate" w:val="False"/>
          <w:attr w:name="IsLunarDate" w:val="False"/>
          <w:attr w:name="Day" w:val="28"/>
          <w:attr w:name="Month" w:val="7"/>
          <w:attr w:name="Year" w:val="2024"/>
        </w:smartTagPr>
        <w:r>
          <w:rPr>
            <w:rFonts w:ascii="仿宋_GB2312" w:eastAsia="仿宋_GB2312" w:hAnsi="仿宋_GB2312" w:cs="仿宋_GB2312"/>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28</w:t>
        </w:r>
        <w:r>
          <w:rPr>
            <w:rFonts w:ascii="仿宋_GB2312" w:eastAsia="仿宋_GB2312" w:hAnsi="仿宋_GB2312" w:cs="仿宋_GB2312" w:hint="eastAsia"/>
            <w:sz w:val="32"/>
            <w:szCs w:val="32"/>
          </w:rPr>
          <w:t>日</w:t>
        </w:r>
      </w:smartTag>
    </w:p>
    <w:p w:rsidR="00534B11" w:rsidRDefault="00534B11" w:rsidP="00726878">
      <w:pPr>
        <w:spacing w:line="660" w:lineRule="exact"/>
        <w:ind w:firstLineChars="200" w:firstLine="31680"/>
        <w:rPr>
          <w:rFonts w:ascii="仿宋_GB2312" w:eastAsia="仿宋_GB2312" w:hAnsi="仿宋_GB2312" w:cs="仿宋_GB2312"/>
          <w:sz w:val="32"/>
          <w:szCs w:val="32"/>
        </w:rPr>
      </w:pPr>
      <w:r w:rsidRPr="00F02BFB">
        <w:rPr>
          <w:rFonts w:ascii="黑体" w:eastAsia="黑体" w:hAnsi="黑体" w:cs="仿宋_GB2312" w:hint="eastAsia"/>
          <w:b/>
          <w:bCs/>
          <w:sz w:val="32"/>
          <w:szCs w:val="32"/>
        </w:rPr>
        <w:t>四、派位地点：</w:t>
      </w:r>
      <w:r>
        <w:rPr>
          <w:rFonts w:ascii="仿宋_GB2312" w:eastAsia="仿宋_GB2312" w:hAnsi="仿宋_GB2312" w:cs="仿宋_GB2312" w:hint="eastAsia"/>
          <w:sz w:val="32"/>
          <w:szCs w:val="32"/>
        </w:rPr>
        <w:t>待定（具体地点请关注招生网站通知）</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五、派位资格</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网上申请就读阳春市第二中学、阳春市实验中学七年级（初中一年级）并经学校审核符合电脑随机派位的招生对象（详见《</w:t>
      </w:r>
      <w:r>
        <w:rPr>
          <w:rFonts w:ascii="仿宋_GB2312" w:eastAsia="仿宋_GB2312" w:hAnsi="仿宋_GB2312" w:cs="仿宋_GB2312"/>
          <w:sz w:val="32"/>
          <w:szCs w:val="32"/>
        </w:rPr>
        <w:t>2024</w:t>
      </w:r>
      <w:r>
        <w:rPr>
          <w:rFonts w:ascii="仿宋_GB2312" w:eastAsia="仿宋_GB2312" w:hAnsi="仿宋_GB2312" w:cs="仿宋_GB2312" w:hint="eastAsia"/>
          <w:sz w:val="32"/>
          <w:szCs w:val="32"/>
        </w:rPr>
        <w:t>年阳春市义务教育学校招生方案》）。</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六、派位办法</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根据阳春市第二中学、阳春市实验中学七年级（初中一年级）招生计划数进行电脑随机派位录取。</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七、派位程序</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（一）派位前准备工作</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参与人员。电脑随机派位前，邀请公证机构人员、纪检人员、人大代表、政协委员以及学生家长代表于派位当天前往现场监督。</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场地及后勤准备。提前做好现场各类人员的座位安排，入场指引；安排人员做好参加人员身</w:t>
      </w:r>
      <w:bookmarkStart w:id="0" w:name="_GoBack"/>
      <w:bookmarkEnd w:id="0"/>
      <w:r>
        <w:rPr>
          <w:rFonts w:ascii="仿宋_GB2312" w:eastAsia="仿宋_GB2312" w:hAnsi="仿宋_GB2312" w:cs="仿宋_GB2312" w:hint="eastAsia"/>
          <w:sz w:val="32"/>
          <w:szCs w:val="32"/>
        </w:rPr>
        <w:t>份的检查；保障电脑随机派位所需设备和物品供应；电脑随机派位工作要求全程录像，提前落实拍摄人员以及录像器材准备。</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设备准备。提前安装和检测电脑随机派位现场所需的电脑、投影屏是否正常运作，做好电脑随机派位工作全程技术支持，确保电脑随机派位过程平稳顺利。</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（二）现场电脑随机派位流程</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第一步，开启设备和导入派位数据</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电脑随机派位当天，电脑技术人员在</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名或以上公证员的监督下开启电脑随机派位录取的电脑，并确保该电脑处于断网单机状态。</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第二步，宣布派位计划数和待派位人数</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市教育局宣布派位计划数，以及参加电脑随机派位的“待派位”学生人数。</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第三步，随机产生“派位号”</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由电脑技术人员统一通过电脑随机派位录取程序随机为每个待派位学生产生“派位号”。</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备选“派位号”的产生</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为确保“派位号”的产生无人为因素控制，先产生</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组备选“派位号”，然后在</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组备选“派位号”中摇选其中一组为正式“派位号”。</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正式“派位号”的产生</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备选“派位号”产生后，在抽号箱放入</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号乒乓球作为抽号球，由家长代表在抽号箱随机抽号的方式，确定其中一组备选“派位号”为正式“派位号”。</w:t>
      </w:r>
    </w:p>
    <w:p w:rsidR="00534B11" w:rsidRDefault="00534B11" w:rsidP="00726878">
      <w:pPr>
        <w:ind w:firstLineChars="200" w:firstLine="31680"/>
        <w:rPr>
          <w:rFonts w:ascii="仿宋_GB2312" w:eastAsia="仿宋_GB2312" w:hAnsi="仿宋_GB2312" w:cs="仿宋_GB2312"/>
          <w:sz w:val="32"/>
          <w:szCs w:val="32"/>
        </w:rPr>
      </w:pPr>
      <w:r>
        <w:rPr>
          <w:noProof/>
        </w:rPr>
        <w:pict>
          <v:shapetype id="_x0000_t202" coordsize="21600,21600" o:spt="202" path="m,l,21600r21600,l21600,xe">
            <v:stroke joinstyle="miter"/>
            <v:path gradientshapeok="t" o:connecttype="rect"/>
          </v:shapetype>
          <v:shape id="_x0000_s1027" type="#_x0000_t202" style="position:absolute;left:0;text-align:left;margin-left:7.8pt;margin-top:11.55pt;width:427.45pt;height:161.25pt;z-index:251658240" o:gfxdata="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4mLQdUAAAAJAQAADwAAAAAAAAABACAAAAAiAAAAZHJzL2Rvd25yZXYueG1sUEsBAhQAFAAA&#10;AAgAh07iQGsAut9kAgAAxAQAAA4AAAAAAAAAAQAgAAAAJAEAAGRycy9lMm9Eb2MueG1sUEsFBgAA&#10;AAAGAAYAWQEAAPoFAAAAAA==&#10;" strokeweight=".5pt">
            <v:stroke joinstyle="round"/>
            <v:textbox>
              <w:txbxContent>
                <w:p w:rsidR="00534B11" w:rsidRDefault="00534B11">
                  <w:pPr>
                    <w:rPr>
                      <w:rFonts w:ascii="仿宋_GB2312" w:eastAsia="仿宋_GB2312" w:hAnsi="仿宋_GB2312" w:cs="仿宋_GB2312"/>
                      <w:sz w:val="28"/>
                      <w:szCs w:val="28"/>
                    </w:rPr>
                  </w:pPr>
                  <w:r>
                    <w:rPr>
                      <w:rFonts w:ascii="仿宋_GB2312" w:eastAsia="仿宋_GB2312" w:hAnsi="仿宋_GB2312" w:cs="仿宋_GB2312" w:hint="eastAsia"/>
                      <w:sz w:val="28"/>
                      <w:szCs w:val="28"/>
                    </w:rPr>
                    <w:t>举例：</w:t>
                  </w:r>
                </w:p>
                <w:p w:rsidR="00534B11" w:rsidRDefault="00534B11" w:rsidP="00726878">
                  <w:pPr>
                    <w:ind w:firstLineChars="200" w:firstLine="31680"/>
                    <w:rPr>
                      <w:sz w:val="28"/>
                      <w:szCs w:val="28"/>
                    </w:rPr>
                  </w:pPr>
                  <w:r>
                    <w:rPr>
                      <w:rFonts w:ascii="仿宋_GB2312" w:eastAsia="仿宋_GB2312" w:hAnsi="仿宋_GB2312" w:cs="仿宋_GB2312" w:hint="eastAsia"/>
                      <w:sz w:val="28"/>
                      <w:szCs w:val="28"/>
                    </w:rPr>
                    <w:t>工作人员在抽号箱里放入</w:t>
                  </w:r>
                  <w:r>
                    <w:rPr>
                      <w:rFonts w:ascii="仿宋_GB2312" w:eastAsia="仿宋_GB2312" w:hAnsi="仿宋_GB2312" w:cs="仿宋_GB2312"/>
                      <w:sz w:val="28"/>
                      <w:szCs w:val="28"/>
                    </w:rPr>
                    <w:t>1-5</w:t>
                  </w:r>
                  <w:r>
                    <w:rPr>
                      <w:rFonts w:ascii="仿宋_GB2312" w:eastAsia="仿宋_GB2312" w:hAnsi="仿宋_GB2312" w:cs="仿宋_GB2312" w:hint="eastAsia"/>
                      <w:sz w:val="28"/>
                      <w:szCs w:val="28"/>
                    </w:rPr>
                    <w:t>号共</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个乒乓球作为抽号球，由家长代表现场抽出其中一个号球。如抽出的号球为“</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”，就以第</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组备选“派位号”作为正式“派位号”；如抽出的号球为“</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”，就以第</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组备选“派位号”作为正式“派位号”。</w:t>
                  </w:r>
                </w:p>
              </w:txbxContent>
            </v:textbox>
          </v:shape>
        </w:pict>
      </w:r>
    </w:p>
    <w:p w:rsidR="00534B11" w:rsidRDefault="00534B11" w:rsidP="00726878">
      <w:pPr>
        <w:ind w:firstLineChars="200" w:firstLine="31680"/>
        <w:rPr>
          <w:rFonts w:ascii="仿宋_GB2312" w:eastAsia="仿宋_GB2312" w:hAnsi="仿宋_GB2312" w:cs="仿宋_GB2312"/>
          <w:sz w:val="32"/>
          <w:szCs w:val="32"/>
        </w:rPr>
      </w:pPr>
    </w:p>
    <w:p w:rsidR="00534B11" w:rsidRDefault="00534B11" w:rsidP="00726878">
      <w:pPr>
        <w:ind w:firstLineChars="200" w:firstLine="31680"/>
        <w:rPr>
          <w:rFonts w:ascii="仿宋_GB2312" w:eastAsia="仿宋_GB2312" w:hAnsi="仿宋_GB2312" w:cs="仿宋_GB2312"/>
          <w:sz w:val="32"/>
          <w:szCs w:val="32"/>
        </w:rPr>
      </w:pPr>
    </w:p>
    <w:p w:rsidR="00534B11" w:rsidRDefault="00534B11" w:rsidP="00726878">
      <w:pPr>
        <w:ind w:firstLineChars="200" w:firstLine="31680"/>
        <w:rPr>
          <w:rFonts w:ascii="仿宋_GB2312" w:eastAsia="仿宋_GB2312" w:hAnsi="仿宋_GB2312" w:cs="仿宋_GB2312"/>
          <w:sz w:val="32"/>
          <w:szCs w:val="32"/>
        </w:rPr>
      </w:pPr>
    </w:p>
    <w:p w:rsidR="00534B11" w:rsidRDefault="00534B11" w:rsidP="00726878">
      <w:pPr>
        <w:ind w:firstLineChars="200" w:firstLine="31680"/>
        <w:rPr>
          <w:rFonts w:ascii="仿宋_GB2312" w:eastAsia="仿宋_GB2312" w:hAnsi="仿宋_GB2312" w:cs="仿宋_GB2312"/>
          <w:sz w:val="32"/>
          <w:szCs w:val="32"/>
        </w:rPr>
      </w:pPr>
    </w:p>
    <w:p w:rsidR="00534B11" w:rsidRDefault="00534B11" w:rsidP="00726878">
      <w:pPr>
        <w:ind w:firstLineChars="200" w:firstLine="31680"/>
        <w:rPr>
          <w:rFonts w:ascii="仿宋_GB2312" w:eastAsia="仿宋_GB2312" w:hAnsi="仿宋_GB2312" w:cs="仿宋_GB2312"/>
          <w:sz w:val="32"/>
          <w:szCs w:val="32"/>
        </w:rPr>
      </w:pP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家长代表现场只能抽出一个号球，否则视为无效，需重新抽号。</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第四步，按计划数随机录取</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电脑技术人员通过电脑随机派位录取程序，根据阳春二中、实验中学的派位计划数随机录取，额满为止。</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电脑技术人员通过电脑随机派位录取程序完成录取后，将派位号数据以及录取结果拷贝给公证人员存档。</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第五步，公证员宣读公证结果，电脑技术人员将录取结果拷贝到光盘或</w:t>
      </w:r>
      <w:r>
        <w:rPr>
          <w:rFonts w:ascii="仿宋_GB2312" w:eastAsia="仿宋_GB2312" w:hAnsi="仿宋_GB2312" w:cs="仿宋_GB2312"/>
          <w:sz w:val="32"/>
          <w:szCs w:val="32"/>
        </w:rPr>
        <w:t>U</w:t>
      </w:r>
      <w:r>
        <w:rPr>
          <w:rFonts w:ascii="仿宋_GB2312" w:eastAsia="仿宋_GB2312" w:hAnsi="仿宋_GB2312" w:cs="仿宋_GB2312" w:hint="eastAsia"/>
          <w:sz w:val="32"/>
          <w:szCs w:val="32"/>
        </w:rPr>
        <w:t>盘，并用信封装好密封；教育部门负责人，公证员、人大代表、政协委员代表、纪检人员在信封上签名。</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电脑技术人员将录取结果导入“招生平台”，学生家长可以在招生平台查看个人派位结果。</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八、学位安排</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己录取的学生应按照学校相关要求按时注册，不按时注册的学生视为放弃该学校学位。未被派位学校录取的自动进入原片区学校参与正常录取流程。</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九、应急处置</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在电脑随机派位过程中，如发生电脑、软件故障，应启用备用电脑重新进行，故障发生前已经电脑随机派位产生的结果作废。如启用备用电脑后仍发生故障，且在</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小时内无法排除，导致电脑随机派位招生录取活动无法继续的，应当终止本次电脑随机派位招生录取活动，另行选择时间重新举行电脑随机派位招生录取活动，故障发生前已经电脑随机派位产生的结果作废。如电脑随机派位招生录取活动现场发生纷争、秩序混乱或发生其他可能影响电脑随机派位招生录取活动正常进行的情形，无法当场解决的，则终止本次电脑随机派位招生录取活动，另行选择时间重新举行电脑随机派位招生录取活动，终止前已经电脑随机派位产生的结果作废。</w:t>
      </w:r>
    </w:p>
    <w:p w:rsidR="00534B11" w:rsidRPr="00F02BFB" w:rsidRDefault="00534B11" w:rsidP="00726878">
      <w:pPr>
        <w:spacing w:line="660" w:lineRule="exact"/>
        <w:ind w:firstLineChars="200" w:firstLine="31680"/>
        <w:rPr>
          <w:rFonts w:ascii="黑体" w:eastAsia="黑体" w:hAnsi="黑体" w:cs="仿宋_GB2312"/>
          <w:b/>
          <w:bCs/>
          <w:sz w:val="32"/>
          <w:szCs w:val="32"/>
        </w:rPr>
      </w:pPr>
      <w:r w:rsidRPr="00F02BFB">
        <w:rPr>
          <w:rFonts w:ascii="黑体" w:eastAsia="黑体" w:hAnsi="黑体" w:cs="仿宋_GB2312" w:hint="eastAsia"/>
          <w:b/>
          <w:bCs/>
          <w:sz w:val="32"/>
          <w:szCs w:val="32"/>
        </w:rPr>
        <w:t>十、最终解释权</w:t>
      </w:r>
    </w:p>
    <w:p w:rsidR="00534B11" w:rsidRDefault="00534B11" w:rsidP="00726878">
      <w:pPr>
        <w:spacing w:line="6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学生电脑随机派位资格审查及随机派位流程由阳春市教育局负责解释；电脑随机派位软件问题由软件开发公司负责解释；电脑随机派位程序公开、公平、公正问题由阳春市公证处负责解释。</w:t>
      </w:r>
    </w:p>
    <w:p w:rsidR="00534B11" w:rsidRPr="009F14FD" w:rsidRDefault="00534B11" w:rsidP="009F14FD">
      <w:pPr>
        <w:spacing w:line="660" w:lineRule="exact"/>
        <w:rPr>
          <w:rFonts w:ascii="仿宋_GB2312" w:eastAsia="仿宋_GB2312" w:hAnsi="仿宋_GB2312" w:cs="仿宋_GB2312"/>
          <w:sz w:val="32"/>
          <w:szCs w:val="32"/>
        </w:rPr>
      </w:pPr>
    </w:p>
    <w:sectPr w:rsidR="00534B11" w:rsidRPr="009F14FD" w:rsidSect="00F02BFB">
      <w:footerReference w:type="default" r:id="rId6"/>
      <w:pgSz w:w="11906" w:h="16838" w:code="9"/>
      <w:pgMar w:top="1400" w:right="1469" w:bottom="1559" w:left="1440" w:header="851" w:footer="1418"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B11" w:rsidRDefault="00534B11" w:rsidP="00BD5ED5">
      <w:r>
        <w:separator/>
      </w:r>
    </w:p>
  </w:endnote>
  <w:endnote w:type="continuationSeparator" w:id="0">
    <w:p w:rsidR="00534B11" w:rsidRDefault="00534B11" w:rsidP="00BD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um"/>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11" w:rsidRDefault="00534B11">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534B11" w:rsidRDefault="00534B11">
                <w:pPr>
                  <w:pStyle w:val="Footer"/>
                </w:pPr>
                <w:fldSimple w:instr=" PAGE  \* MERGEFORMAT ">
                  <w:r>
                    <w:rPr>
                      <w:noProof/>
                    </w:rPr>
                    <w:t>- 5 -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B11" w:rsidRDefault="00534B11" w:rsidP="00BD5ED5">
      <w:r>
        <w:separator/>
      </w:r>
    </w:p>
  </w:footnote>
  <w:footnote w:type="continuationSeparator" w:id="0">
    <w:p w:rsidR="00534B11" w:rsidRDefault="00534B11" w:rsidP="00BD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2VlNDUyMWNjZWM1NjdmZDA3ODYxYTJiOGEzODE1YzcifQ=="/>
    <w:docVar w:name="KSO_WPS_MARK_KEY" w:val="8775db2b-0b28-46a1-8587-03802757fab2"/>
  </w:docVars>
  <w:rsids>
    <w:rsidRoot w:val="00BD5ED5"/>
    <w:rsid w:val="000B5AE8"/>
    <w:rsid w:val="00231E86"/>
    <w:rsid w:val="003751A5"/>
    <w:rsid w:val="00534B11"/>
    <w:rsid w:val="00726878"/>
    <w:rsid w:val="0094519B"/>
    <w:rsid w:val="009F14FD"/>
    <w:rsid w:val="00BD5ED5"/>
    <w:rsid w:val="00C16D72"/>
    <w:rsid w:val="00D82729"/>
    <w:rsid w:val="00F02BFB"/>
    <w:rsid w:val="00F9643C"/>
    <w:rsid w:val="14FE69F4"/>
    <w:rsid w:val="1EFD4231"/>
    <w:rsid w:val="20986724"/>
    <w:rsid w:val="34624480"/>
    <w:rsid w:val="42707BEA"/>
    <w:rsid w:val="433E6169"/>
    <w:rsid w:val="55BE6B72"/>
    <w:rsid w:val="5870440E"/>
    <w:rsid w:val="6343670A"/>
    <w:rsid w:val="641F364D"/>
    <w:rsid w:val="672E7431"/>
    <w:rsid w:val="735D1A0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locked="1" w:semiHidden="0" w:uiPriority="0"/>
    <w:lsdException w:name="HTML Bottom of Form" w:locked="1" w:semiHidden="0" w:uiPriority="0"/>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locked="1" w:semiHidden="0" w:uiPriority="0"/>
    <w:lsdException w:name="annotation subject" w:unhideWhenUsed="1"/>
    <w:lsdException w:name="No List" w:locked="1" w:semiHidden="0" w:uiPriority="0"/>
    <w:lsdException w:name="Outline List 1" w:locked="1" w:semiHidden="0" w:uiPriority="0"/>
    <w:lsdException w:name="Outline List 2" w:locked="1" w:semiHidden="0" w:uiPriority="0"/>
    <w:lsdException w:name="Outline List 3" w:locked="1" w:semiHidden="0" w:uiPriority="0"/>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D5ED5"/>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5ED5"/>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cs="Times New Roman"/>
      <w:sz w:val="18"/>
      <w:szCs w:val="18"/>
    </w:rPr>
  </w:style>
  <w:style w:type="paragraph" w:styleId="Header">
    <w:name w:val="header"/>
    <w:basedOn w:val="Normal"/>
    <w:link w:val="HeaderChar"/>
    <w:uiPriority w:val="99"/>
    <w:rsid w:val="00BD5E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5</Pages>
  <Words>257</Words>
  <Characters>1471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YCHYUSER</cp:lastModifiedBy>
  <cp:revision>4</cp:revision>
  <cp:lastPrinted>2024-06-18T03:20:00Z</cp:lastPrinted>
  <dcterms:created xsi:type="dcterms:W3CDTF">2024-06-04T07:16:00Z</dcterms:created>
  <dcterms:modified xsi:type="dcterms:W3CDTF">2024-06-18T03:32:00Z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2A13B5A7C7A94965B6B487E87FF9ACE8_12</vt:lpwstr>
  </property>
</Properties>
</file>