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b/>
          <w:sz w:val="28"/>
          <w:szCs w:val="28"/>
        </w:rPr>
      </w:pPr>
      <w:r>
        <w:rPr>
          <w:rFonts w:hint="eastAsia"/>
          <w:b/>
          <w:sz w:val="28"/>
          <w:szCs w:val="28"/>
        </w:rPr>
        <w:t>行政处罚信息公开表</w:t>
      </w:r>
    </w:p>
    <w:tbl>
      <w:tblPr>
        <w:tblStyle w:val="4"/>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8" w:hRule="atLeast"/>
        </w:trPr>
        <w:tc>
          <w:tcPr>
            <w:tcW w:w="655" w:type="dxa"/>
            <w:shd w:val="clear" w:color="auto" w:fill="auto"/>
            <w:vAlign w:val="center"/>
          </w:tcPr>
          <w:p>
            <w:pPr>
              <w:spacing w:line="440" w:lineRule="exact"/>
              <w:rPr>
                <w:sz w:val="28"/>
                <w:szCs w:val="28"/>
              </w:rPr>
            </w:pPr>
            <w:r>
              <w:rPr>
                <w:rFonts w:hint="eastAsia"/>
                <w:sz w:val="28"/>
                <w:szCs w:val="28"/>
              </w:rPr>
              <w:t>序号</w:t>
            </w:r>
          </w:p>
        </w:tc>
        <w:tc>
          <w:tcPr>
            <w:tcW w:w="1204" w:type="dxa"/>
            <w:shd w:val="clear" w:color="auto" w:fill="auto"/>
            <w:vAlign w:val="center"/>
          </w:tcPr>
          <w:p>
            <w:pPr>
              <w:spacing w:line="440" w:lineRule="exact"/>
              <w:rPr>
                <w:sz w:val="28"/>
                <w:szCs w:val="28"/>
              </w:rPr>
            </w:pPr>
            <w:r>
              <w:rPr>
                <w:rFonts w:hint="eastAsia"/>
                <w:sz w:val="28"/>
                <w:szCs w:val="28"/>
              </w:rPr>
              <w:t>行政处罚决定书文号</w:t>
            </w:r>
          </w:p>
        </w:tc>
        <w:tc>
          <w:tcPr>
            <w:tcW w:w="1508" w:type="dxa"/>
            <w:shd w:val="clear" w:color="auto" w:fill="auto"/>
            <w:vAlign w:val="center"/>
          </w:tcPr>
          <w:p>
            <w:pPr>
              <w:spacing w:line="440" w:lineRule="exact"/>
              <w:rPr>
                <w:sz w:val="28"/>
                <w:szCs w:val="28"/>
              </w:rPr>
            </w:pPr>
            <w:r>
              <w:rPr>
                <w:rFonts w:hint="eastAsia"/>
                <w:sz w:val="28"/>
                <w:szCs w:val="28"/>
              </w:rPr>
              <w:t>案件名称</w:t>
            </w:r>
          </w:p>
        </w:tc>
        <w:tc>
          <w:tcPr>
            <w:tcW w:w="1318" w:type="dxa"/>
            <w:shd w:val="clear" w:color="auto" w:fill="auto"/>
            <w:vAlign w:val="center"/>
          </w:tcPr>
          <w:p>
            <w:pPr>
              <w:spacing w:line="440" w:lineRule="exact"/>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rFonts w:hint="eastAsia" w:eastAsia="宋体"/>
                <w:sz w:val="28"/>
                <w:szCs w:val="28"/>
                <w:lang w:eastAsia="zh-CN"/>
              </w:rPr>
            </w:pPr>
            <w:r>
              <w:rPr>
                <w:rFonts w:hint="eastAsia"/>
                <w:sz w:val="28"/>
                <w:szCs w:val="28"/>
                <w:lang w:eastAsia="zh-CN"/>
              </w:rPr>
              <w:t>营业执照注册号</w:t>
            </w:r>
          </w:p>
        </w:tc>
        <w:tc>
          <w:tcPr>
            <w:tcW w:w="1318" w:type="dxa"/>
            <w:shd w:val="clear" w:color="auto" w:fill="auto"/>
            <w:vAlign w:val="center"/>
          </w:tcPr>
          <w:p>
            <w:pPr>
              <w:spacing w:line="440" w:lineRule="exact"/>
              <w:rPr>
                <w:sz w:val="28"/>
                <w:szCs w:val="28"/>
              </w:rPr>
            </w:pPr>
            <w:r>
              <w:rPr>
                <w:rFonts w:hint="eastAsia"/>
                <w:sz w:val="28"/>
                <w:szCs w:val="28"/>
              </w:rPr>
              <w:t>法定代表人姓名</w:t>
            </w:r>
          </w:p>
        </w:tc>
        <w:tc>
          <w:tcPr>
            <w:tcW w:w="1550" w:type="dxa"/>
            <w:shd w:val="clear" w:color="auto" w:fill="auto"/>
            <w:vAlign w:val="center"/>
          </w:tcPr>
          <w:p>
            <w:pPr>
              <w:spacing w:line="440" w:lineRule="exact"/>
              <w:rPr>
                <w:sz w:val="28"/>
                <w:szCs w:val="28"/>
              </w:rPr>
            </w:pPr>
            <w:r>
              <w:rPr>
                <w:rFonts w:hint="eastAsia"/>
                <w:sz w:val="28"/>
                <w:szCs w:val="28"/>
              </w:rPr>
              <w:t>主要违法事实</w:t>
            </w:r>
          </w:p>
        </w:tc>
        <w:tc>
          <w:tcPr>
            <w:tcW w:w="1932" w:type="dxa"/>
            <w:shd w:val="clear" w:color="auto" w:fill="auto"/>
            <w:vAlign w:val="center"/>
          </w:tcPr>
          <w:p>
            <w:pPr>
              <w:spacing w:line="440" w:lineRule="exact"/>
              <w:rPr>
                <w:sz w:val="28"/>
                <w:szCs w:val="28"/>
              </w:rPr>
            </w:pPr>
            <w:r>
              <w:rPr>
                <w:rFonts w:hint="eastAsia"/>
                <w:sz w:val="28"/>
                <w:szCs w:val="28"/>
              </w:rPr>
              <w:t>行政处罚的种类和依据</w:t>
            </w:r>
          </w:p>
        </w:tc>
        <w:tc>
          <w:tcPr>
            <w:tcW w:w="1379" w:type="dxa"/>
            <w:shd w:val="clear" w:color="auto" w:fill="auto"/>
            <w:vAlign w:val="center"/>
          </w:tcPr>
          <w:p>
            <w:pPr>
              <w:spacing w:line="440" w:lineRule="exact"/>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default"/>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（春）市监药字[2019]2号</w:t>
            </w:r>
          </w:p>
        </w:tc>
        <w:tc>
          <w:tcPr>
            <w:tcW w:w="15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阳春市德济堂药店超范围经营处方药案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阳春市德济堂药店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超范围经营处方药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依据</w:t>
            </w:r>
            <w:r>
              <w:rPr>
                <w:rFonts w:hint="eastAsia" w:ascii="宋体" w:hAnsi="宋体" w:eastAsia="宋体" w:cs="宋体"/>
                <w:i w:val="0"/>
                <w:color w:val="auto"/>
                <w:kern w:val="0"/>
                <w:sz w:val="22"/>
                <w:szCs w:val="22"/>
                <w:u w:val="none"/>
                <w:lang w:val="en-US" w:eastAsia="zh-CN" w:bidi="ar"/>
              </w:rPr>
              <w:t>《药品流通监督管理办法》第三十二条</w:t>
            </w:r>
            <w:r>
              <w:rPr>
                <w:rFonts w:hint="eastAsia" w:ascii="宋体" w:hAnsi="宋体" w:cs="宋体"/>
                <w:i w:val="0"/>
                <w:color w:val="auto"/>
                <w:kern w:val="0"/>
                <w:sz w:val="22"/>
                <w:szCs w:val="22"/>
                <w:u w:val="none"/>
                <w:lang w:val="en-US" w:eastAsia="zh-CN" w:bidi="ar"/>
              </w:rPr>
              <w:t>第四项</w:t>
            </w:r>
          </w:p>
          <w:p>
            <w:pPr>
              <w:keepNext w:val="0"/>
              <w:keepLines w:val="0"/>
              <w:widowControl/>
              <w:suppressLineNumbers w:val="0"/>
              <w:shd w:val="clear"/>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eastAsia="宋体" w:cs="宋体"/>
                <w:color w:val="000000"/>
                <w:sz w:val="22"/>
                <w:szCs w:val="22"/>
                <w:lang w:val="en-US" w:eastAsia="zh-CN"/>
              </w:rPr>
            </w:pPr>
            <w:r>
              <w:rPr>
                <w:rFonts w:hint="eastAsia" w:ascii="宋体" w:hAnsi="宋体" w:eastAsia="宋体" w:cs="宋体"/>
                <w:i w:val="0"/>
                <w:color w:val="auto"/>
                <w:kern w:val="0"/>
                <w:sz w:val="22"/>
                <w:szCs w:val="22"/>
                <w:u w:val="none"/>
                <w:lang w:val="en-US" w:eastAsia="zh-CN" w:bidi="ar"/>
              </w:rPr>
              <w:t>没收违法所得，罚款</w:t>
            </w:r>
          </w:p>
        </w:tc>
        <w:tc>
          <w:tcPr>
            <w:tcW w:w="1379" w:type="dxa"/>
            <w:shd w:val="clear" w:color="auto" w:fill="auto"/>
            <w:vAlign w:val="center"/>
          </w:tcPr>
          <w:p>
            <w:pPr>
              <w:shd w:val="clear"/>
              <w:spacing w:line="44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自</w:t>
            </w:r>
            <w:r>
              <w:rPr>
                <w:rFonts w:hint="eastAsia" w:ascii="仿宋_GB2312" w:eastAsia="仿宋_GB2312"/>
                <w:color w:val="auto"/>
                <w:sz w:val="28"/>
                <w:szCs w:val="28"/>
                <w:highlight w:val="none"/>
              </w:rPr>
              <w:t>动履行</w:t>
            </w:r>
          </w:p>
          <w:p>
            <w:pPr>
              <w:spacing w:line="440" w:lineRule="exact"/>
              <w:rPr>
                <w:rFonts w:hint="eastAsia" w:ascii="仿宋_GB2312" w:eastAsia="仿宋_GB2312"/>
                <w:color w:val="000000"/>
                <w:sz w:val="28"/>
                <w:szCs w:val="28"/>
                <w:lang w:val="en-US" w:eastAsia="zh-CN"/>
              </w:rPr>
            </w:pPr>
          </w:p>
        </w:tc>
        <w:tc>
          <w:tcPr>
            <w:tcW w:w="1349" w:type="dxa"/>
            <w:shd w:val="clear" w:color="auto" w:fill="auto"/>
            <w:vAlign w:val="center"/>
          </w:tcPr>
          <w:p>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p>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2019.12.26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（春）市监药字[2019]4号</w:t>
            </w:r>
          </w:p>
        </w:tc>
        <w:tc>
          <w:tcPr>
            <w:tcW w:w="15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阳春市康美大药房超范围经营处方药案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阳春市康美大药房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超范围经营处方药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依据</w:t>
            </w:r>
            <w:r>
              <w:rPr>
                <w:rFonts w:hint="eastAsia" w:ascii="宋体" w:hAnsi="宋体" w:eastAsia="宋体" w:cs="宋体"/>
                <w:i w:val="0"/>
                <w:color w:val="auto"/>
                <w:kern w:val="0"/>
                <w:sz w:val="22"/>
                <w:szCs w:val="22"/>
                <w:u w:val="none"/>
                <w:lang w:val="en-US" w:eastAsia="zh-CN" w:bidi="ar"/>
              </w:rPr>
              <w:t>《药品流通监督管理办法》第三十二条</w:t>
            </w:r>
            <w:r>
              <w:rPr>
                <w:rFonts w:hint="eastAsia" w:ascii="宋体" w:hAnsi="宋体" w:cs="宋体"/>
                <w:i w:val="0"/>
                <w:color w:val="auto"/>
                <w:kern w:val="0"/>
                <w:sz w:val="22"/>
                <w:szCs w:val="22"/>
                <w:u w:val="none"/>
                <w:lang w:val="en-US" w:eastAsia="zh-CN" w:bidi="ar"/>
              </w:rPr>
              <w:t>第四项</w:t>
            </w:r>
          </w:p>
          <w:p>
            <w:pPr>
              <w:keepNext w:val="0"/>
              <w:keepLines w:val="0"/>
              <w:widowControl/>
              <w:suppressLineNumbers w:val="0"/>
              <w:shd w:val="clear"/>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auto"/>
                <w:kern w:val="0"/>
                <w:sz w:val="22"/>
                <w:szCs w:val="22"/>
                <w:u w:val="none"/>
                <w:lang w:val="en-US" w:eastAsia="zh-CN" w:bidi="ar"/>
              </w:rPr>
              <w:t>没收违法所得，罚款</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p>
          <w:p>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2019.12.26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3</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（春）市监药字[2019]7号</w:t>
            </w:r>
          </w:p>
        </w:tc>
        <w:tc>
          <w:tcPr>
            <w:tcW w:w="15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阳春市二桥春芝林大药房销售劣药案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阳春市二桥春芝林大药房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销售劣药</w:t>
            </w:r>
            <w:r>
              <w:rPr>
                <w:rFonts w:hint="eastAsia" w:ascii="宋体" w:hAnsi="宋体" w:cs="宋体"/>
                <w:i w:val="0"/>
                <w:color w:val="000000"/>
                <w:kern w:val="0"/>
                <w:sz w:val="22"/>
                <w:szCs w:val="22"/>
                <w:u w:val="none"/>
                <w:lang w:val="en-US" w:eastAsia="zh-CN" w:bidi="ar"/>
              </w:rPr>
              <w:t>（生产企业工艺缺陷，饮片切制不规范，药店承担连带责任）</w:t>
            </w:r>
          </w:p>
        </w:tc>
        <w:tc>
          <w:tcPr>
            <w:tcW w:w="1932" w:type="dxa"/>
            <w:shd w:val="clear" w:color="auto" w:fill="auto"/>
            <w:vAlign w:val="center"/>
          </w:tcPr>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依据《中华人民共和国药品管理法》第七十四条</w:t>
            </w:r>
          </w:p>
          <w:p>
            <w:pPr>
              <w:keepNext w:val="0"/>
              <w:keepLines w:val="0"/>
              <w:widowControl/>
              <w:suppressLineNumbers w:val="0"/>
              <w:shd w:val="clear"/>
              <w:jc w:val="both"/>
              <w:textAlignment w:val="center"/>
              <w:rPr>
                <w:rFonts w:hint="default"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处违法销售药品货值金额二倍罚款</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2019.01.07</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4</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（春）市监药字[2019]8号</w:t>
            </w:r>
          </w:p>
        </w:tc>
        <w:tc>
          <w:tcPr>
            <w:tcW w:w="15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阳春市佰信大药房销售劣药案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阳春市佰信大药房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销售劣药</w:t>
            </w:r>
            <w:r>
              <w:rPr>
                <w:rFonts w:hint="eastAsia" w:ascii="宋体" w:hAnsi="宋体" w:cs="宋体"/>
                <w:i w:val="0"/>
                <w:color w:val="000000"/>
                <w:kern w:val="0"/>
                <w:sz w:val="22"/>
                <w:szCs w:val="22"/>
                <w:u w:val="none"/>
                <w:lang w:val="en-US" w:eastAsia="zh-CN" w:bidi="ar"/>
              </w:rPr>
              <w:t>（生产企业工艺缺陷，饮片切制不规范，药店承担连带责任）</w:t>
            </w:r>
          </w:p>
        </w:tc>
        <w:tc>
          <w:tcPr>
            <w:tcW w:w="1932" w:type="dxa"/>
            <w:shd w:val="clear" w:color="auto" w:fill="auto"/>
            <w:vAlign w:val="center"/>
          </w:tcPr>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依据《中华人民共和国药品管理法》第七十四条</w:t>
            </w:r>
          </w:p>
          <w:p>
            <w:pPr>
              <w:keepNext w:val="0"/>
              <w:keepLines w:val="0"/>
              <w:widowControl/>
              <w:suppressLineNumbers w:val="0"/>
              <w:shd w:val="clear"/>
              <w:jc w:val="both"/>
              <w:textAlignment w:val="center"/>
              <w:rPr>
                <w:rFonts w:hint="default"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处违法销售药品货值金额二倍罚款</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2019.01.07</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default"/>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5</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（春）市监药字[2019]18号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阳春市春城仁寿药店未凭医师处方销售处方药案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阳春市春城仁寿药店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eastAsia="宋体" w:cs="宋体"/>
                <w:color w:val="000000"/>
                <w:sz w:val="22"/>
                <w:szCs w:val="22"/>
                <w:lang w:val="en-US" w:eastAsia="zh-CN"/>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2019.12.24</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6</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（春）市监药字[2019]19号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阳春市众利康药店未凭医师处方销售处方药案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阳春市众利康药店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2019.12.23</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7</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（春）市监药字[2019]20号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阳春市春城同益堂药店未凭医师处方销售处方药案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阳春市春城同益堂药店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8</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（春）市监药字[2019]21号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阳春市善药房大药店未凭医师处方销售处方药案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阳春市善药房大药店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9</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（春）市监药字[2019]22号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阳春市富谊安医药贸易有限公司未凭医师处方销售处方药案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阳春市富谊安医药贸易有限公司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10</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（春）市监药字[2019]23号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阳春市开心大药房未凭医师处方销售处方药案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阳春市开心大药房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2019.12.25</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11</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（春）市监药字[2019]24号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阳春市信德药业有限公司大药房第十一分公司未凭医师处方销售处方药案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阳春市信德药业有限公司大药房第十一分公司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2019.12.13</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12</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（春）市监药字[2019]25号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阳春市逸仁大药房未凭医师处方销售处方药案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阳春市逸仁大药房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2019.12.24</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13</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（春）市监药字[2019]26号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阳春市春城永安药店未凭医师处方销售处方药案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阳春市春城永安药店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14</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（春）市监药字[2019]27号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阳春市天康大药店未凭医师处方销售处方药案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阳春市天康大药店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15</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（春）市监药字[2019]28号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阳春市鑫鹏药店未按规定建立药品销售记录案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阳春市鑫鹏药店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16</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（春）市监药字[2019]29号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阳春市诚键药店有限公司未凭医师处方销售处方药案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阳春市诚键药店有限公司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17</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（春）市监药字[2019]30号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阳春市永恒药店未按规定建立药品销售记录案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阳春市永恒药店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18</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（春）市监药字[2019]31号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阳春市春城保康药店未按规定建立药品销售记录案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阳春市春城保康药店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19</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（春）市监药字[2019]32号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阳春市利众药店未凭医师处方销售处方药案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阳春市利众药店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20</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（春）市监药字[2019]33号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阳春市春城城西药店未按规定建立药品销售记录案</w:t>
            </w:r>
          </w:p>
        </w:tc>
        <w:tc>
          <w:tcPr>
            <w:tcW w:w="131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阳春市春城城西药店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21</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（春）市监药字[2019]34号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阳春市春城泰盛众生大药房未凭医师处方销售处方药案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阳春市春城泰盛众生大药房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2019.12.16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22</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（春）市监药字[2019]35号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阳春市春城圣生堂药店未凭医师处方销售处方药案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阳春市春城圣生堂药店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2019.12.27</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23</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（春）市监药字[2019]36号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阳春市春城镇永泰药店未按规定建立药品销售记录案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阳春市春城镇永泰药店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24</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（春）市监药字[2019]37号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阳春市春城永兴药店未凭医师处方销售处方药案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阳春市春城永兴药店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25</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（春）市监药字[2019]38号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阳春市天一健之堂医药有限公司未凭医师处方销售处方药案</w:t>
            </w:r>
          </w:p>
        </w:tc>
        <w:tc>
          <w:tcPr>
            <w:tcW w:w="131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阳春市天一健之堂医药有限公司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2019.12.27</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26</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（春）市监药字[2019]39号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阳春市春城五味堂大药店未凭医师处方销售处方药案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阳春市春城五味堂大药店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2019.12.27</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27</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（春）市监药字[2019]40号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阳春市一心大药房未凭医师处方销售处方药案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阳春市一心大药房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28</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（春）市监药字[2019]41号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阳春市春城平安药店未凭医师处方销售处方药案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阳春市春城平安药店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29</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（春）市监药字[2019]42号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阳春市春城仁心堂药店未凭医师处方销售处方药案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阳春市春城仁心堂药店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30</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（春）市监药字[2019]43号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阳春市春城镇漠阳药店未按规定建立药品销售记录案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阳春市春城镇漠阳药店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31</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（春）市监药字[2019]44号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阳春市恒生药店未凭医师处方销售处方药案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阳春市恒生药店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32</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（春）市监药字[2019]45号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阳春市健康人大药房未凭医师处方销售处方药案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阳春市健康人大药房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33</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（春）市监药字[2019]46号</w:t>
            </w:r>
          </w:p>
        </w:tc>
        <w:tc>
          <w:tcPr>
            <w:tcW w:w="150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阳春市春城益康堂药店未按规定建立药品销售记录案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阳春市春城益康堂药店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未按规定建立药品销售记录</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中华人民共和国药品管理法</w:t>
            </w:r>
            <w:r>
              <w:rPr>
                <w:rFonts w:hint="eastAsia" w:ascii="宋体" w:hAnsi="宋体" w:eastAsia="宋体" w:cs="宋体"/>
                <w:i w:val="0"/>
                <w:color w:val="auto"/>
                <w:kern w:val="0"/>
                <w:sz w:val="22"/>
                <w:szCs w:val="22"/>
                <w:u w:val="none"/>
                <w:lang w:val="en-US" w:eastAsia="zh-CN" w:bidi="ar"/>
              </w:rPr>
              <w:t>》第</w:t>
            </w:r>
            <w:r>
              <w:rPr>
                <w:rFonts w:hint="eastAsia" w:ascii="宋体" w:hAnsi="宋体" w:cs="宋体"/>
                <w:i w:val="0"/>
                <w:color w:val="auto"/>
                <w:kern w:val="0"/>
                <w:sz w:val="22"/>
                <w:szCs w:val="22"/>
                <w:u w:val="none"/>
                <w:lang w:val="en-US" w:eastAsia="zh-CN" w:bidi="ar"/>
              </w:rPr>
              <w:t>一百三十</w:t>
            </w:r>
            <w:r>
              <w:rPr>
                <w:rFonts w:hint="eastAsia" w:ascii="宋体" w:hAnsi="宋体" w:eastAsia="宋体" w:cs="宋体"/>
                <w:i w:val="0"/>
                <w:color w:val="auto"/>
                <w:kern w:val="0"/>
                <w:sz w:val="22"/>
                <w:szCs w:val="22"/>
                <w:u w:val="none"/>
                <w:lang w:val="en-US" w:eastAsia="zh-CN" w:bidi="ar"/>
              </w:rPr>
              <w:t>条</w:t>
            </w: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55" w:type="dxa"/>
            <w:shd w:val="clear" w:color="auto" w:fill="auto"/>
            <w:vAlign w:val="center"/>
          </w:tcPr>
          <w:p>
            <w:pPr>
              <w:keepNext w:val="0"/>
              <w:keepLines w:val="0"/>
              <w:widowControl/>
              <w:suppressLineNumbers w:val="0"/>
              <w:jc w:val="right"/>
              <w:textAlignment w:val="center"/>
              <w:rPr>
                <w:rFonts w:hint="eastAsia"/>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34</w:t>
            </w:r>
          </w:p>
        </w:tc>
        <w:tc>
          <w:tcPr>
            <w:tcW w:w="12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（春）市监药字[2019]47号</w:t>
            </w:r>
          </w:p>
        </w:tc>
        <w:tc>
          <w:tcPr>
            <w:tcW w:w="1508"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阳春市泓华堂大药房未凭医师处方销售处方药案</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阳春市泓华堂大药房</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keepNext w:val="0"/>
              <w:keepLines w:val="0"/>
              <w:widowControl/>
              <w:suppressLineNumbers w:val="0"/>
              <w:jc w:val="center"/>
              <w:textAlignment w:val="center"/>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未凭医师处方销售处方药</w:t>
            </w:r>
          </w:p>
        </w:tc>
        <w:tc>
          <w:tcPr>
            <w:tcW w:w="1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bookmarkStart w:id="0" w:name="_GoBack"/>
            <w:bookmarkEnd w:id="0"/>
            <w:r>
              <w:rPr>
                <w:rFonts w:hint="eastAsia" w:ascii="宋体" w:hAnsi="宋体" w:eastAsia="宋体" w:cs="宋体"/>
                <w:i w:val="0"/>
                <w:color w:val="auto"/>
                <w:kern w:val="0"/>
                <w:sz w:val="22"/>
                <w:szCs w:val="22"/>
                <w:u w:val="none"/>
                <w:lang w:val="en-US" w:eastAsia="zh-CN" w:bidi="ar"/>
              </w:rPr>
              <w:t>《药品流通监督管理办法》第</w:t>
            </w:r>
            <w:r>
              <w:rPr>
                <w:rFonts w:hint="eastAsia" w:ascii="宋体" w:hAnsi="宋体" w:cs="宋体"/>
                <w:i w:val="0"/>
                <w:color w:val="auto"/>
                <w:kern w:val="0"/>
                <w:sz w:val="22"/>
                <w:szCs w:val="22"/>
                <w:u w:val="none"/>
                <w:lang w:val="en-US" w:eastAsia="zh-CN" w:bidi="ar"/>
              </w:rPr>
              <w:t>三十八</w:t>
            </w:r>
            <w:r>
              <w:rPr>
                <w:rFonts w:hint="eastAsia" w:ascii="宋体" w:hAnsi="宋体" w:eastAsia="宋体" w:cs="宋体"/>
                <w:i w:val="0"/>
                <w:color w:val="auto"/>
                <w:kern w:val="0"/>
                <w:sz w:val="22"/>
                <w:szCs w:val="22"/>
                <w:u w:val="none"/>
                <w:lang w:val="en-US" w:eastAsia="zh-CN" w:bidi="ar"/>
              </w:rPr>
              <w:t>条第</w:t>
            </w:r>
            <w:r>
              <w:rPr>
                <w:rFonts w:hint="eastAsia" w:ascii="宋体" w:hAnsi="宋体" w:cs="宋体"/>
                <w:i w:val="0"/>
                <w:color w:val="auto"/>
                <w:kern w:val="0"/>
                <w:sz w:val="22"/>
                <w:szCs w:val="22"/>
                <w:u w:val="none"/>
                <w:lang w:val="en-US" w:eastAsia="zh-CN" w:bidi="ar"/>
              </w:rPr>
              <w:t>一</w:t>
            </w:r>
            <w:r>
              <w:rPr>
                <w:rFonts w:hint="eastAsia" w:ascii="宋体" w:hAnsi="宋体" w:eastAsia="宋体" w:cs="宋体"/>
                <w:i w:val="0"/>
                <w:color w:val="auto"/>
                <w:kern w:val="0"/>
                <w:sz w:val="22"/>
                <w:szCs w:val="22"/>
                <w:u w:val="none"/>
                <w:lang w:val="en-US" w:eastAsia="zh-CN" w:bidi="ar"/>
              </w:rPr>
              <w:t>款</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shd w:val="clear"/>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警告</w:t>
            </w:r>
          </w:p>
        </w:tc>
        <w:tc>
          <w:tcPr>
            <w:tcW w:w="1379" w:type="dxa"/>
            <w:shd w:val="clear" w:color="auto" w:fill="auto"/>
            <w:vAlign w:val="center"/>
          </w:tcPr>
          <w:p>
            <w:pPr>
              <w:spacing w:line="440" w:lineRule="exact"/>
              <w:rPr>
                <w:rFonts w:hint="eastAsia" w:ascii="仿宋_GB2312" w:eastAsia="仿宋_GB2312"/>
                <w:color w:val="000000"/>
                <w:sz w:val="28"/>
                <w:szCs w:val="28"/>
                <w:lang w:val="en-US" w:eastAsia="zh-CN"/>
              </w:rPr>
            </w:pP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动履行</w:t>
            </w:r>
          </w:p>
        </w:tc>
        <w:tc>
          <w:tcPr>
            <w:tcW w:w="1349" w:type="dxa"/>
            <w:shd w:val="clear" w:color="auto" w:fill="auto"/>
            <w:vAlign w:val="center"/>
          </w:tcPr>
          <w:p>
            <w:pPr>
              <w:spacing w:line="440" w:lineRule="exact"/>
              <w:rPr>
                <w:rFonts w:hint="default" w:ascii="仿宋_GB2312" w:eastAsia="仿宋_GB2312"/>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eastAsia="zh-CN"/>
              </w:rPr>
              <w:t>阳春市食品药品监督管理局</w:t>
            </w:r>
            <w:r>
              <w:rPr>
                <w:rFonts w:hint="eastAsia" w:asciiTheme="minorEastAsia" w:hAnsiTheme="minorEastAsia" w:eastAsiaTheme="minorEastAsia" w:cstheme="minorEastAsia"/>
                <w:color w:val="auto"/>
                <w:sz w:val="24"/>
                <w:szCs w:val="24"/>
                <w:highlight w:val="none"/>
                <w:lang w:val="en-US" w:eastAsia="zh-CN"/>
              </w:rPr>
              <w:t>2019.12.30</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sectPr>
      <w:pgSz w:w="16838" w:h="11906" w:orient="landscape"/>
      <w:pgMar w:top="1519"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475BF7"/>
    <w:rsid w:val="00487EF8"/>
    <w:rsid w:val="005E2BE8"/>
    <w:rsid w:val="00A02F03"/>
    <w:rsid w:val="00A510CF"/>
    <w:rsid w:val="00AF3639"/>
    <w:rsid w:val="00CF5F7E"/>
    <w:rsid w:val="064220A1"/>
    <w:rsid w:val="2CAC3552"/>
    <w:rsid w:val="2EB4381E"/>
    <w:rsid w:val="2F612CD8"/>
    <w:rsid w:val="3A1149CF"/>
    <w:rsid w:val="3B7B2D83"/>
    <w:rsid w:val="3C9F7A99"/>
    <w:rsid w:val="3E3C1EC4"/>
    <w:rsid w:val="48661DBB"/>
    <w:rsid w:val="4FD71401"/>
    <w:rsid w:val="532C025B"/>
    <w:rsid w:val="54866CE4"/>
    <w:rsid w:val="59F7010B"/>
    <w:rsid w:val="5A460B6F"/>
    <w:rsid w:val="649E0A5F"/>
    <w:rsid w:val="67EE4205"/>
    <w:rsid w:val="6F11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01"/>
    <w:basedOn w:val="5"/>
    <w:qFormat/>
    <w:uiPriority w:val="0"/>
    <w:rPr>
      <w:rFonts w:hint="default" w:ascii="仿宋_GB2312" w:eastAsia="仿宋_GB2312" w:cs="仿宋_GB2312"/>
      <w:color w:val="000000"/>
      <w:sz w:val="21"/>
      <w:szCs w:val="21"/>
      <w:u w:val="none"/>
    </w:rPr>
  </w:style>
  <w:style w:type="character" w:customStyle="1" w:styleId="9">
    <w:name w:val="font21"/>
    <w:basedOn w:val="5"/>
    <w:qFormat/>
    <w:uiPriority w:val="0"/>
    <w:rPr>
      <w:rFonts w:hint="default" w:ascii="仿宋_GB2312" w:eastAsia="仿宋_GB2312" w:cs="仿宋_GB2312"/>
      <w:color w:val="000000"/>
      <w:sz w:val="20"/>
      <w:szCs w:val="20"/>
      <w:u w:val="none"/>
    </w:rPr>
  </w:style>
  <w:style w:type="character" w:customStyle="1" w:styleId="10">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TotalTime>0</TotalTime>
  <ScaleCrop>false</ScaleCrop>
  <LinksUpToDate>false</LinksUpToDate>
  <CharactersWithSpaces>271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2014-06-26T09:16:00Z</dcterms:created>
  <dc:creator>尚延恒/稽查二处/稽查局/国家局/sda</dc:creator>
  <cp:lastModifiedBy>Zola</cp:lastModifiedBy>
  <dcterms:modified xsi:type="dcterms:W3CDTF">2020-03-10T07:29:03Z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