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阳春市农业农村局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年度本部门“双随机、一公开”抽查工作计划</w:t>
      </w:r>
      <w:bookmarkStart w:id="0" w:name="_GoBack"/>
      <w:bookmarkEnd w:id="0"/>
    </w:p>
    <w:tbl>
      <w:tblPr>
        <w:tblStyle w:val="4"/>
        <w:tblW w:w="144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504"/>
        <w:gridCol w:w="2145"/>
        <w:gridCol w:w="2691"/>
        <w:gridCol w:w="1260"/>
        <w:gridCol w:w="930"/>
        <w:gridCol w:w="1320"/>
        <w:gridCol w:w="1245"/>
        <w:gridCol w:w="900"/>
        <w:gridCol w:w="960"/>
        <w:gridCol w:w="946"/>
      </w:tblGrid>
      <w:tr w14:paraId="3109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 w14:paraId="37BB9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962D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  <w:p w14:paraId="4E69968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</w:t>
            </w:r>
          </w:p>
          <w:p w14:paraId="0F5F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抽查频率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事项类别</w:t>
            </w:r>
          </w:p>
        </w:tc>
      </w:tr>
      <w:tr w14:paraId="7FD7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F475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饲料质量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安全监督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《饲料和料添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加剂管理条例》第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三条第二款、第三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饲料质量安全监督抽样检测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县级以上农业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农村主管部门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饲料质量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安全检查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饲料生产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</w:t>
            </w:r>
          </w:p>
          <w:p w14:paraId="79D2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查事项</w:t>
            </w:r>
          </w:p>
        </w:tc>
      </w:tr>
      <w:tr w14:paraId="6DC0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D71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种畜禽生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产经营检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国畜牧法》第五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条、第三十四条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种畜禽生产经营检查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上农业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种畜禽生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产经营检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种畜禽生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产经营单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</w:t>
            </w:r>
          </w:p>
          <w:p w14:paraId="4A2B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查事项</w:t>
            </w:r>
          </w:p>
        </w:tc>
      </w:tr>
      <w:tr w14:paraId="20E1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9F9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企业检查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《兽药管理条例》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第三条第二款、第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二十五条第二款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兽药经营企业检查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上农业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</w:t>
            </w:r>
          </w:p>
          <w:p w14:paraId="28FC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查事项</w:t>
            </w:r>
          </w:p>
        </w:tc>
      </w:tr>
      <w:tr w14:paraId="0CF4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D79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对利用重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点保护水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生野生动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物及其制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品活动行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政检查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《水生野生动物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保护实施条例》第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水生野生动物来源符合国家规定、是否建立相关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经营利用台账记录等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上渔业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利用水生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野生动物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及其制品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活动检查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经批准的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利用水生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野生动物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及其制品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的事业单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位、企业、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</w:t>
            </w:r>
          </w:p>
          <w:p w14:paraId="00D5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查事项</w:t>
            </w:r>
          </w:p>
        </w:tc>
      </w:tr>
      <w:tr w14:paraId="4585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A08A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农药、化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肥、种子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《农药管理条例》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第三条第二款；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《肥料登记管理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办法》第六条第三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款；《中华人民共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和国种子法》第三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对农药、肥料、种子生产、经营、使用主体的行政检查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上农业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实地检查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农药、肥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料、种子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生产、经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营及重点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使用对象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农药、肥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料、种子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生产、经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营及重点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使用对象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</w:t>
            </w:r>
          </w:p>
          <w:p w14:paraId="6128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查事项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查事项</w:t>
            </w:r>
          </w:p>
        </w:tc>
      </w:tr>
      <w:tr w14:paraId="126F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1C6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农业转基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因生物安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全监督检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《农业转基因生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物安全管理条例》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第四条第二款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境外贸易商农业转基因生物安全证书管理符合要求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: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是否经过主管部门批准。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农业转基因生物生产应用符合要求，是否经过主管部门批准。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农业转基因生物生产应用符合要求，是否按照批准的品种，范围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安全管理要求和技术标准生产。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上农业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农村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主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管部门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实地检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转基因饲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料加工企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业检查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省厅已行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政许可通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过转基因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饲料加工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企业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Droid Sans Fallbac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</w:t>
            </w:r>
          </w:p>
          <w:p w14:paraId="7717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查事项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查事项</w:t>
            </w:r>
          </w:p>
        </w:tc>
      </w:tr>
    </w:tbl>
    <w:p w14:paraId="387D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265EE"/>
    <w:rsid w:val="0B146A13"/>
    <w:rsid w:val="0B6265EE"/>
    <w:rsid w:val="0B87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default" w:ascii="Droid Sans Fallback" w:hAnsi="Droid Sans Fallback" w:eastAsia="Droid Sans Fallback" w:cs="Droid Sans Fallback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841</Characters>
  <Lines>0</Lines>
  <Paragraphs>0</Paragraphs>
  <TotalTime>2</TotalTime>
  <ScaleCrop>false</ScaleCrop>
  <LinksUpToDate>false</LinksUpToDate>
  <CharactersWithSpaces>841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2025-06-27T03:41:00Z</dcterms:created>
  <dc:creator>pinocchio</dc:creator>
  <cp:lastModifiedBy>pinocchio</cp:lastModifiedBy>
  <cp:lastPrinted>2025-08-15T07:17:54Z</cp:lastPrinted>
  <dcterms:modified xsi:type="dcterms:W3CDTF">2025-08-15T08:10:45Z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F10755201FCE4B08AA39C776D86BC670_13</vt:lpwstr>
  </property>
  <property fmtid="{D5CDD505-2E9C-101B-9397-08002B2CF9AE}" pid="4" name="KSOTemplateDocerSaveRecord">
    <vt:lpwstr>eyJoZGlkIjoiMWJhYzc2OGY1YTYzNTQxN2E4YzEzM2EyYmRiZWFmODAiLCJ1c2VySWQiOiI1NDg2NzY3MjUifQ==</vt:lpwstr>
  </property>
</Properties>
</file>