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A7D0ED">
      <w:pPr>
        <w:keepNext w:val="0"/>
        <w:keepLines w:val="0"/>
        <w:pageBreakBefore w:val="0"/>
        <w:widowControl w:val="0"/>
        <w:kinsoku/>
        <w:wordWrap/>
        <w:overflowPunct/>
        <w:topLinePunct w:val="0"/>
        <w:bidi w:val="0"/>
        <w:snapToGrid/>
        <w:spacing w:line="554" w:lineRule="exact"/>
        <w:jc w:val="center"/>
        <w:textAlignment w:val="auto"/>
        <w:rPr>
          <w:rFonts w:hint="eastAsia" w:ascii="方正小标宋简体" w:hAnsi="方正小标宋简体" w:eastAsia="方正小标宋简体" w:cs="方正小标宋简体"/>
          <w:sz w:val="32"/>
          <w:szCs w:val="32"/>
          <w:lang w:eastAsia="zh-CN"/>
        </w:rPr>
      </w:pPr>
    </w:p>
    <w:p w14:paraId="4F7AC33C">
      <w:pPr>
        <w:pStyle w:val="2"/>
        <w:keepNext w:val="0"/>
        <w:keepLines w:val="0"/>
        <w:pageBreakBefore w:val="0"/>
        <w:widowControl w:val="0"/>
        <w:kinsoku/>
        <w:wordWrap/>
        <w:overflowPunct/>
        <w:topLinePunct w:val="0"/>
        <w:bidi w:val="0"/>
        <w:snapToGrid/>
        <w:spacing w:line="554" w:lineRule="exact"/>
        <w:textAlignment w:val="auto"/>
        <w:rPr>
          <w:rFonts w:hint="eastAsia" w:ascii="方正小标宋简体" w:hAnsi="方正小标宋简体" w:eastAsia="方正小标宋简体" w:cs="方正小标宋简体"/>
          <w:sz w:val="32"/>
          <w:szCs w:val="32"/>
          <w:lang w:eastAsia="zh-CN"/>
        </w:rPr>
      </w:pPr>
    </w:p>
    <w:p w14:paraId="425B5655">
      <w:pPr>
        <w:pStyle w:val="2"/>
        <w:keepNext w:val="0"/>
        <w:keepLines w:val="0"/>
        <w:pageBreakBefore w:val="0"/>
        <w:widowControl w:val="0"/>
        <w:kinsoku/>
        <w:wordWrap/>
        <w:overflowPunct/>
        <w:topLinePunct w:val="0"/>
        <w:bidi w:val="0"/>
        <w:snapToGrid/>
        <w:spacing w:line="554" w:lineRule="exact"/>
        <w:textAlignment w:val="auto"/>
        <w:rPr>
          <w:rFonts w:hint="eastAsia" w:ascii="方正小标宋简体" w:hAnsi="方正小标宋简体" w:eastAsia="方正小标宋简体" w:cs="方正小标宋简体"/>
          <w:sz w:val="32"/>
          <w:szCs w:val="32"/>
          <w:lang w:eastAsia="zh-CN"/>
        </w:rPr>
      </w:pPr>
    </w:p>
    <w:p w14:paraId="60B3E553">
      <w:pPr>
        <w:keepNext w:val="0"/>
        <w:keepLines w:val="0"/>
        <w:pageBreakBefore w:val="0"/>
        <w:widowControl w:val="0"/>
        <w:kinsoku/>
        <w:wordWrap/>
        <w:overflowPunct/>
        <w:topLinePunct w:val="0"/>
        <w:bidi w:val="0"/>
        <w:snapToGrid/>
        <w:spacing w:line="554"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行政处罚事先</w:t>
      </w:r>
      <w:r>
        <w:rPr>
          <w:rFonts w:hint="eastAsia" w:ascii="方正小标宋简体" w:hAnsi="方正小标宋简体" w:eastAsia="方正小标宋简体" w:cs="方正小标宋简体"/>
          <w:sz w:val="44"/>
          <w:szCs w:val="44"/>
          <w:lang w:val="en-US" w:eastAsia="zh-CN"/>
        </w:rPr>
        <w:t>(听证)</w:t>
      </w:r>
      <w:r>
        <w:rPr>
          <w:rFonts w:hint="eastAsia" w:ascii="方正小标宋简体" w:hAnsi="方正小标宋简体" w:eastAsia="方正小标宋简体" w:cs="方正小标宋简体"/>
          <w:sz w:val="44"/>
          <w:szCs w:val="44"/>
          <w:lang w:eastAsia="zh-CN"/>
        </w:rPr>
        <w:t>告知书</w:t>
      </w:r>
    </w:p>
    <w:p w14:paraId="7783F201">
      <w:pPr>
        <w:keepNext w:val="0"/>
        <w:keepLines w:val="0"/>
        <w:pageBreakBefore w:val="0"/>
        <w:widowControl w:val="0"/>
        <w:kinsoku/>
        <w:wordWrap/>
        <w:overflowPunct/>
        <w:topLinePunct w:val="0"/>
        <w:bidi w:val="0"/>
        <w:snapToGrid/>
        <w:spacing w:line="554" w:lineRule="exact"/>
        <w:ind w:firstLine="2560" w:firstLineChars="8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阳环春罚告字〔2025〕80号</w:t>
      </w:r>
    </w:p>
    <w:p w14:paraId="1AC98B8E">
      <w:pPr>
        <w:pStyle w:val="7"/>
        <w:keepNext w:val="0"/>
        <w:keepLines w:val="0"/>
        <w:pageBreakBefore w:val="0"/>
        <w:widowControl w:val="0"/>
        <w:kinsoku/>
        <w:wordWrap/>
        <w:overflowPunct/>
        <w:topLinePunct w:val="0"/>
        <w:bidi w:val="0"/>
        <w:snapToGrid/>
        <w:spacing w:line="554" w:lineRule="exact"/>
        <w:textAlignment w:val="auto"/>
        <w:rPr>
          <w:rFonts w:hint="eastAsia"/>
          <w:lang w:val="en-US" w:eastAsia="zh-CN"/>
        </w:rPr>
      </w:pPr>
    </w:p>
    <w:p w14:paraId="3412C73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阳春市平丽建筑材料经营部：</w:t>
      </w:r>
    </w:p>
    <w:p w14:paraId="2224C22D">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统一社会信用代码：92441781MAEJ7UYX63</w:t>
      </w:r>
    </w:p>
    <w:p w14:paraId="234764D0">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经营场所：阳春市双滘镇红星村委会坡生朗村02号</w:t>
      </w:r>
    </w:p>
    <w:p w14:paraId="4AE9A5C8">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经营者：苏超丽</w:t>
      </w:r>
    </w:p>
    <w:p w14:paraId="4E8634A6">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公民身份号码:44***219******6**0</w:t>
      </w:r>
    </w:p>
    <w:p w14:paraId="57E56F37">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住址:阳春市双滘镇***村委会***</w:t>
      </w:r>
      <w:bookmarkStart w:id="0" w:name="_GoBack"/>
      <w:bookmarkEnd w:id="0"/>
    </w:p>
    <w:p w14:paraId="5E43431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Times New Roman" w:hAnsi="Times New Roman" w:eastAsia="仿宋_GB2312" w:cs="Times New Roman"/>
          <w:sz w:val="32"/>
          <w:szCs w:val="32"/>
          <w:lang w:val="en-US" w:eastAsia="zh-CN"/>
        </w:rPr>
        <w:t>2024年6月17日、2024年6月26日和2025年6月4日</w:t>
      </w:r>
      <w:r>
        <w:rPr>
          <w:rFonts w:hint="eastAsia" w:ascii="仿宋_GB2312" w:hAnsi="仿宋_GB2312" w:eastAsia="仿宋_GB2312" w:cs="仿宋_GB2312"/>
          <w:sz w:val="32"/>
          <w:szCs w:val="32"/>
          <w:lang w:val="en-US" w:eastAsia="zh-CN"/>
        </w:rPr>
        <w:t>我局执法人员对你单位进行了现场检查，发现你单位实施以下环境违法行为:</w:t>
      </w:r>
    </w:p>
    <w:p w14:paraId="2CDE3D5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你单位在阳春市双滘镇红星村委会坡生朗村02号从事石灰膏制造和销售项目，该项目于2005年建设，2008年投产。经核实，你投资经营的建设项目位置位于《广东省人民政府关于印发部分市乡镇集中式饮用水源保护区划分方案的通知》(粤府函(2015〕17号)内划定的阳春市双滘镇塘角饮用水源保护区二级保护区内，属于饮用水源保护区划定前</w:t>
      </w:r>
      <w:r>
        <w:rPr>
          <w:rFonts w:hint="eastAsia" w:ascii="Times New Roman" w:hAnsi="Times New Roman" w:eastAsia="仿宋_GB2312" w:cs="Times New Roman"/>
          <w:kern w:val="0"/>
          <w:sz w:val="32"/>
          <w:szCs w:val="32"/>
          <w:lang w:eastAsia="zh-CN"/>
        </w:rPr>
        <w:t>已建成的排放污染物的建设项</w:t>
      </w:r>
      <w:r>
        <w:rPr>
          <w:rFonts w:hint="eastAsia" w:ascii="仿宋_GB2312" w:hAnsi="仿宋_GB2312" w:eastAsia="仿宋_GB2312" w:cs="仿宋_GB2312"/>
          <w:sz w:val="32"/>
          <w:szCs w:val="32"/>
          <w:lang w:val="en-US" w:eastAsia="zh-CN"/>
        </w:rPr>
        <w:t>目。</w:t>
      </w:r>
    </w:p>
    <w:p w14:paraId="49A5BC3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你单位的上述行为违反了</w:t>
      </w:r>
      <w:r>
        <w:rPr>
          <w:rFonts w:hint="eastAsia" w:ascii="Times New Roman" w:hAnsi="Times New Roman" w:eastAsia="仿宋_GB2312" w:cs="Times New Roman"/>
          <w:kern w:val="0"/>
          <w:sz w:val="32"/>
          <w:szCs w:val="32"/>
          <w:lang w:eastAsia="zh-CN"/>
        </w:rPr>
        <w:t>《中华人民共和国水污染防治法》第六十六条“禁止在饮用水水源二级保护区内新建、改建、扩建排放污染物的建设项目；已建成的排放污染物的建设项目，由县级以上人民政府责令拆除或者关闭。”的规定</w:t>
      </w:r>
      <w:r>
        <w:rPr>
          <w:rFonts w:hint="eastAsia" w:ascii="仿宋_GB2312" w:hAnsi="仿宋_GB2312" w:eastAsia="仿宋_GB2312" w:cs="仿宋_GB2312"/>
          <w:sz w:val="32"/>
          <w:szCs w:val="32"/>
          <w:lang w:val="en-US" w:eastAsia="zh-CN"/>
        </w:rPr>
        <w:t>。</w:t>
      </w:r>
    </w:p>
    <w:p w14:paraId="779F27F4">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以上事实，有执法人员2024年6月17日、2024年6月26日和2025年6月4日制作的《现场检查笔录》、《询问笔录》及现场检查图片、</w:t>
      </w:r>
      <w:r>
        <w:rPr>
          <w:rFonts w:hint="eastAsia" w:ascii="仿宋_GB2312" w:hAnsi="仿宋_GB2312" w:eastAsia="仿宋_GB2312" w:cs="仿宋_GB2312"/>
          <w:sz w:val="32"/>
          <w:szCs w:val="32"/>
          <w:lang w:val="en-US" w:eastAsia="zh-CN"/>
        </w:rPr>
        <w:t>《广东省人民政府关于印发部分市乡镇集中式饮用水源保护区划分方案的通知》（粤府函〔2015〕17号）和饮用水水源保护区矢量图</w:t>
      </w:r>
      <w:r>
        <w:rPr>
          <w:rFonts w:hint="eastAsia" w:ascii="Times New Roman" w:hAnsi="Times New Roman" w:eastAsia="仿宋_GB2312" w:cs="Times New Roman"/>
          <w:sz w:val="32"/>
          <w:szCs w:val="32"/>
          <w:lang w:val="en-US" w:eastAsia="zh-CN"/>
        </w:rPr>
        <w:t>等证据为证。</w:t>
      </w:r>
    </w:p>
    <w:p w14:paraId="73AF013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仿宋_GB2312" w:hAnsi="仿宋_GB2312" w:eastAsia="仿宋_GB2312" w:cs="仿宋_GB2312"/>
          <w:sz w:val="32"/>
          <w:szCs w:val="32"/>
          <w:lang w:val="en-US" w:eastAsia="zh-CN"/>
        </w:rPr>
        <w:t>依据</w:t>
      </w:r>
      <w:r>
        <w:rPr>
          <w:rFonts w:hint="eastAsia" w:ascii="Times New Roman" w:hAnsi="Times New Roman" w:eastAsia="仿宋_GB2312" w:cs="Times New Roman"/>
          <w:kern w:val="0"/>
          <w:sz w:val="32"/>
          <w:szCs w:val="32"/>
          <w:lang w:eastAsia="zh-CN"/>
        </w:rPr>
        <w:t>《中华人民共和国水污染防治法》第六十六条“禁止在饮用水水源二级保护区内新建、改建、扩建排放污染物的建设项目；已建成的排放污染物的建设项目，由县级以上人民政府责令拆除或者关闭。”的规定</w:t>
      </w:r>
      <w:r>
        <w:rPr>
          <w:rFonts w:hint="eastAsia" w:ascii="Times New Roman" w:hAnsi="Times New Roman" w:eastAsia="仿宋_GB2312" w:cs="Times New Roman"/>
          <w:sz w:val="32"/>
          <w:szCs w:val="32"/>
          <w:lang w:val="en-US" w:eastAsia="zh-CN"/>
        </w:rPr>
        <w:t>，我局拟对你</w:t>
      </w:r>
      <w:r>
        <w:rPr>
          <w:rFonts w:hint="eastAsia" w:ascii="仿宋_GB2312" w:hAnsi="仿宋_GB2312" w:eastAsia="仿宋_GB2312" w:cs="仿宋_GB2312"/>
          <w:sz w:val="32"/>
          <w:szCs w:val="32"/>
          <w:lang w:val="en-US" w:eastAsia="zh-CN"/>
        </w:rPr>
        <w:t>单位</w:t>
      </w:r>
      <w:r>
        <w:rPr>
          <w:rFonts w:hint="eastAsia" w:ascii="Times New Roman" w:hAnsi="Times New Roman" w:eastAsia="仿宋_GB2312" w:cs="Times New Roman"/>
          <w:sz w:val="32"/>
          <w:szCs w:val="32"/>
          <w:lang w:val="en-US" w:eastAsia="zh-CN"/>
        </w:rPr>
        <w:t>作出如下行政处罚：</w:t>
      </w:r>
    </w:p>
    <w:p w14:paraId="23B546EA">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拆除或关闭该石灰膏制造和销售项目。</w:t>
      </w:r>
    </w:p>
    <w:p w14:paraId="55A35C96">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根据《中华人民共和国行政处罚法》第七条、第四十四条、第四十五条的规定，你</w:t>
      </w:r>
      <w:r>
        <w:rPr>
          <w:rFonts w:hint="eastAsia" w:ascii="仿宋_GB2312" w:hAnsi="仿宋_GB2312" w:eastAsia="仿宋_GB2312" w:cs="仿宋_GB2312"/>
          <w:sz w:val="32"/>
          <w:szCs w:val="32"/>
          <w:lang w:val="en-US" w:eastAsia="zh-CN"/>
        </w:rPr>
        <w:t>单位</w:t>
      </w:r>
      <w:r>
        <w:rPr>
          <w:rFonts w:hint="default" w:ascii="Times New Roman" w:hAnsi="Times New Roman" w:eastAsia="仿宋_GB2312" w:cs="Times New Roman"/>
          <w:sz w:val="32"/>
          <w:szCs w:val="32"/>
          <w:lang w:val="en-US" w:eastAsia="zh-CN"/>
        </w:rPr>
        <w:t>可在接到本告知书之日起</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val="en-US" w:eastAsia="zh-CN"/>
        </w:rPr>
        <w:t>日内</w:t>
      </w:r>
      <w:r>
        <w:rPr>
          <w:rFonts w:hint="eastAsia" w:ascii="Times New Roman" w:hAnsi="Times New Roman" w:eastAsia="仿宋_GB2312" w:cs="Times New Roman"/>
          <w:sz w:val="32"/>
          <w:szCs w:val="32"/>
          <w:lang w:val="en-US" w:eastAsia="zh-CN"/>
        </w:rPr>
        <w:t>向</w:t>
      </w:r>
      <w:r>
        <w:rPr>
          <w:rFonts w:hint="default" w:ascii="Times New Roman" w:hAnsi="Times New Roman" w:eastAsia="仿宋_GB2312" w:cs="Times New Roman"/>
          <w:sz w:val="32"/>
          <w:szCs w:val="32"/>
          <w:lang w:val="en-US" w:eastAsia="zh-CN"/>
        </w:rPr>
        <w:t>我局提出陈述</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申辩意见。逾期未陈述</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申辩的</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视为你</w:t>
      </w:r>
      <w:r>
        <w:rPr>
          <w:rFonts w:hint="eastAsia" w:ascii="仿宋_GB2312" w:hAnsi="仿宋_GB2312" w:eastAsia="仿宋_GB2312" w:cs="仿宋_GB2312"/>
          <w:sz w:val="32"/>
          <w:szCs w:val="32"/>
          <w:lang w:val="en-US" w:eastAsia="zh-CN"/>
        </w:rPr>
        <w:t>单位</w:t>
      </w:r>
      <w:r>
        <w:rPr>
          <w:rFonts w:hint="default" w:ascii="Times New Roman" w:hAnsi="Times New Roman" w:eastAsia="仿宋_GB2312" w:cs="Times New Roman"/>
          <w:sz w:val="32"/>
          <w:szCs w:val="32"/>
          <w:lang w:val="en-US" w:eastAsia="zh-CN"/>
        </w:rPr>
        <w:t>放弃陈述</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申辩权利。</w:t>
      </w:r>
    </w:p>
    <w:p w14:paraId="5DB55B9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根据《中华人民共和国行政处罚法》</w:t>
      </w:r>
      <w:r>
        <w:rPr>
          <w:rFonts w:hint="eastAsia" w:ascii="Times New Roman" w:hAnsi="Times New Roman" w:eastAsia="仿宋_GB2312" w:cs="Times New Roman"/>
          <w:sz w:val="32"/>
          <w:szCs w:val="32"/>
          <w:lang w:val="en-US" w:eastAsia="zh-CN"/>
        </w:rPr>
        <w:t>第四十四条、</w:t>
      </w:r>
      <w:r>
        <w:rPr>
          <w:rFonts w:hint="default" w:ascii="Times New Roman" w:hAnsi="Times New Roman" w:eastAsia="仿宋_GB2312" w:cs="Times New Roman"/>
          <w:sz w:val="32"/>
          <w:szCs w:val="32"/>
          <w:lang w:val="en-US" w:eastAsia="zh-CN"/>
        </w:rPr>
        <w:t>第六十三条</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第六十四条的规定</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你</w:t>
      </w:r>
      <w:r>
        <w:rPr>
          <w:rFonts w:hint="eastAsia" w:ascii="仿宋_GB2312" w:hAnsi="仿宋_GB2312" w:eastAsia="仿宋_GB2312" w:cs="仿宋_GB2312"/>
          <w:sz w:val="32"/>
          <w:szCs w:val="32"/>
          <w:lang w:val="en-US" w:eastAsia="zh-CN"/>
        </w:rPr>
        <w:t>单位</w:t>
      </w:r>
      <w:r>
        <w:rPr>
          <w:rFonts w:hint="default" w:ascii="Times New Roman" w:hAnsi="Times New Roman" w:eastAsia="仿宋_GB2312" w:cs="Times New Roman"/>
          <w:sz w:val="32"/>
          <w:szCs w:val="32"/>
          <w:lang w:val="en-US" w:eastAsia="zh-CN"/>
        </w:rPr>
        <w:t>有要求举行听证的权利。如果要求听证，</w:t>
      </w:r>
      <w:r>
        <w:rPr>
          <w:rFonts w:hint="eastAsia" w:ascii="Times New Roman" w:hAnsi="Times New Roman" w:eastAsia="仿宋_GB2312" w:cs="Times New Roman"/>
          <w:sz w:val="32"/>
          <w:szCs w:val="32"/>
          <w:lang w:val="en-US" w:eastAsia="zh-CN"/>
        </w:rPr>
        <w:t>你单位</w:t>
      </w:r>
      <w:r>
        <w:rPr>
          <w:rFonts w:hint="default" w:ascii="Times New Roman" w:hAnsi="Times New Roman" w:eastAsia="仿宋_GB2312" w:cs="Times New Roman"/>
          <w:sz w:val="32"/>
          <w:szCs w:val="32"/>
          <w:lang w:val="en-US" w:eastAsia="zh-CN"/>
        </w:rPr>
        <w:t>可在接到本告知书之日起5日内向我</w:t>
      </w:r>
      <w:r>
        <w:rPr>
          <w:rFonts w:hint="eastAsia" w:ascii="Times New Roman" w:hAnsi="Times New Roman" w:eastAsia="仿宋_GB2312" w:cs="Times New Roman"/>
          <w:sz w:val="32"/>
          <w:szCs w:val="32"/>
          <w:lang w:val="en-US" w:eastAsia="zh-CN"/>
        </w:rPr>
        <w:t>局</w:t>
      </w:r>
      <w:r>
        <w:rPr>
          <w:rFonts w:hint="default" w:ascii="Times New Roman" w:hAnsi="Times New Roman" w:eastAsia="仿宋_GB2312" w:cs="Times New Roman"/>
          <w:sz w:val="32"/>
          <w:szCs w:val="32"/>
          <w:lang w:val="en-US" w:eastAsia="zh-CN"/>
        </w:rPr>
        <w:t>提出申请；逾期未提出听证申请的</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视为你放弃听证权利。</w:t>
      </w:r>
    </w:p>
    <w:p w14:paraId="5B91495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单位地址：阳春市春城街道环城北路6号</w:t>
      </w:r>
    </w:p>
    <w:p w14:paraId="48AC0C6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联系人：</w:t>
      </w:r>
      <w:r>
        <w:rPr>
          <w:rFonts w:hint="eastAsia" w:ascii="仿宋_GB2312" w:hAnsi="仿宋_GB2312" w:eastAsia="仿宋_GB2312" w:cs="仿宋_GB2312"/>
          <w:color w:val="auto"/>
          <w:sz w:val="32"/>
          <w:szCs w:val="32"/>
          <w:lang w:eastAsia="zh-CN"/>
        </w:rPr>
        <w:t>杨雅雯</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联系电话：</w:t>
      </w:r>
      <w:r>
        <w:rPr>
          <w:rFonts w:hint="eastAsia" w:ascii="Times New Roman" w:hAnsi="Times New Roman" w:eastAsia="仿宋_GB2312" w:cs="Times New Roman"/>
          <w:kern w:val="2"/>
          <w:sz w:val="32"/>
          <w:szCs w:val="32"/>
          <w:lang w:val="en-US" w:eastAsia="zh-CN"/>
        </w:rPr>
        <w:t>0662-7750983</w:t>
      </w:r>
    </w:p>
    <w:p w14:paraId="5D240E29">
      <w:pPr>
        <w:pStyle w:val="2"/>
        <w:keepNext w:val="0"/>
        <w:keepLines w:val="0"/>
        <w:pageBreakBefore w:val="0"/>
        <w:widowControl w:val="0"/>
        <w:kinsoku/>
        <w:wordWrap/>
        <w:overflowPunct/>
        <w:topLinePunct w:val="0"/>
        <w:bidi w:val="0"/>
        <w:snapToGrid/>
        <w:spacing w:line="560" w:lineRule="exact"/>
        <w:textAlignment w:val="auto"/>
        <w:rPr>
          <w:rFonts w:hint="eastAsia" w:ascii="Times New Roman" w:hAnsi="仿宋" w:eastAsia="仿宋" w:cs="Times New Roman"/>
          <w:sz w:val="32"/>
          <w:szCs w:val="32"/>
          <w:lang w:val="en-US" w:eastAsia="zh-CN"/>
        </w:rPr>
      </w:pPr>
    </w:p>
    <w:p w14:paraId="1E0F960A">
      <w:pPr>
        <w:pStyle w:val="2"/>
        <w:keepNext w:val="0"/>
        <w:keepLines w:val="0"/>
        <w:pageBreakBefore w:val="0"/>
        <w:widowControl w:val="0"/>
        <w:kinsoku/>
        <w:wordWrap/>
        <w:overflowPunct/>
        <w:topLinePunct w:val="0"/>
        <w:bidi w:val="0"/>
        <w:snapToGrid/>
        <w:spacing w:line="560" w:lineRule="exact"/>
        <w:textAlignment w:val="auto"/>
        <w:rPr>
          <w:rFonts w:hint="default" w:ascii="Times New Roman" w:hAnsi="仿宋" w:eastAsia="仿宋" w:cs="Times New Roman"/>
          <w:sz w:val="32"/>
          <w:szCs w:val="32"/>
          <w:lang w:val="en-US" w:eastAsia="zh-CN"/>
        </w:rPr>
      </w:pPr>
    </w:p>
    <w:p w14:paraId="4810EBF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Times New Roman" w:hAnsi="仿宋" w:eastAsia="仿宋" w:cs="Times New Roman"/>
          <w:sz w:val="32"/>
          <w:szCs w:val="32"/>
          <w:lang w:val="en-US" w:eastAsia="zh-CN"/>
        </w:rPr>
        <w:t xml:space="preserve">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阳江市生态环境局</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 xml:space="preserve"> </w:t>
      </w:r>
    </w:p>
    <w:p w14:paraId="4C1B0204">
      <w:pPr>
        <w:keepNext w:val="0"/>
        <w:keepLines w:val="0"/>
        <w:pageBreakBefore w:val="0"/>
        <w:widowControl w:val="0"/>
        <w:kinsoku/>
        <w:wordWrap/>
        <w:overflowPunct/>
        <w:topLinePunct w:val="0"/>
        <w:autoSpaceDE/>
        <w:autoSpaceDN/>
        <w:bidi w:val="0"/>
        <w:adjustRightInd/>
        <w:snapToGrid/>
        <w:spacing w:line="560" w:lineRule="exact"/>
        <w:ind w:firstLine="5760" w:firstLineChars="1800"/>
        <w:textAlignment w:val="auto"/>
        <w:rPr>
          <w:rFonts w:hint="eastAsia" w:ascii="Times New Roman" w:hAnsi="Times New Roman" w:eastAsia="仿宋_GB2312" w:cs="Times New Roman"/>
          <w:kern w:val="2"/>
          <w:sz w:val="32"/>
          <w:szCs w:val="32"/>
          <w:lang w:val="en-US" w:eastAsia="zh-CN"/>
        </w:rPr>
      </w:pPr>
      <w:r>
        <w:rPr>
          <w:rFonts w:hint="eastAsia" w:ascii="Times New Roman" w:hAnsi="Times New Roman" w:eastAsia="仿宋_GB2312" w:cs="Times New Roman"/>
          <w:kern w:val="2"/>
          <w:sz w:val="32"/>
          <w:szCs w:val="32"/>
          <w:lang w:val="en-US" w:eastAsia="zh-CN"/>
        </w:rPr>
        <w:t>2025年10月10日</w:t>
      </w:r>
    </w:p>
    <w:p w14:paraId="223B912E">
      <w:pPr>
        <w:keepNext w:val="0"/>
        <w:keepLines w:val="0"/>
        <w:pageBreakBefore w:val="0"/>
        <w:widowControl w:val="0"/>
        <w:kinsoku/>
        <w:wordWrap/>
        <w:overflowPunct/>
        <w:topLinePunct w:val="0"/>
        <w:autoSpaceDE/>
        <w:autoSpaceDN/>
        <w:bidi w:val="0"/>
        <w:adjustRightInd/>
        <w:snapToGrid/>
        <w:spacing w:line="554" w:lineRule="exact"/>
        <w:ind w:firstLine="5760" w:firstLineChars="1800"/>
        <w:textAlignment w:val="auto"/>
        <w:rPr>
          <w:rFonts w:hint="eastAsia" w:ascii="Times New Roman" w:hAnsi="Times New Roman" w:eastAsia="仿宋_GB2312" w:cs="Times New Roman"/>
          <w:kern w:val="2"/>
          <w:sz w:val="32"/>
          <w:szCs w:val="32"/>
          <w:lang w:val="en-US" w:eastAsia="zh-CN"/>
        </w:rPr>
      </w:pPr>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505DFB">
    <w:pPr>
      <w:pStyle w:val="3"/>
    </w:pPr>
    <w:r>
      <w:rPr>
        <w:sz w:val="18"/>
      </w:rPr>
      <mc:AlternateContent>
        <mc:Choice Requires="wps">
          <w:drawing>
            <wp:anchor distT="0" distB="0" distL="114300" distR="114300" simplePos="0" relativeHeight="251659264" behindDoc="0" locked="0" layoutInCell="1" allowOverlap="1">
              <wp:simplePos x="0" y="0"/>
              <wp:positionH relativeFrom="margin">
                <wp:posOffset>5215255</wp:posOffset>
              </wp:positionH>
              <wp:positionV relativeFrom="paragraph">
                <wp:posOffset>-151765</wp:posOffset>
              </wp:positionV>
              <wp:extent cx="314960" cy="282575"/>
              <wp:effectExtent l="0" t="0" r="0" b="0"/>
              <wp:wrapNone/>
              <wp:docPr id="1" name="文本框 1"/>
              <wp:cNvGraphicFramePr/>
              <a:graphic xmlns:a="http://schemas.openxmlformats.org/drawingml/2006/main">
                <a:graphicData uri="http://schemas.microsoft.com/office/word/2010/wordprocessingShape">
                  <wps:wsp>
                    <wps:cNvSpPr txBox="1"/>
                    <wps:spPr>
                      <a:xfrm>
                        <a:off x="0" y="0"/>
                        <a:ext cx="314960" cy="2825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B51081">
                          <w:pPr>
                            <w:pStyle w:val="3"/>
                            <w:rPr>
                              <w:rFonts w:hint="eastAsia" w:ascii="仿宋_GB2312" w:hAnsi="仿宋_GB2312" w:eastAsia="仿宋_GB2312" w:cs="仿宋_GB2312"/>
                            </w:rPr>
                          </w:pP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410.65pt;margin-top:-11.95pt;height:22.25pt;width:24.8pt;mso-position-horizontal-relative:margin;z-index:251659264;mso-width-relative:page;mso-height-relative:page;" filled="f" stroked="f" coordsize="21600,21600" o:gfxdata="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BSsBVF2QAAAAoBAAAPAAAAAAAAAAEAIAAAACIAAABkcnMvZG93&#10;bnJldi54bWxQSwECFAAUAAAACACHTuJAmaZNRTgCAABhBAAADgAAAAAAAAABACAAAAAoAQAAZHJz&#10;L2Uyb0RvYy54bWxQSwUGAAAAAAYABgBZAQAA0gUAAAAA&#10;">
              <v:fill on="f" focussize="0,0"/>
              <v:stroke on="f" weight="0.5pt"/>
              <v:imagedata o:title=""/>
              <o:lock v:ext="edit" aspectratio="f"/>
              <v:textbox inset="0mm,0mm,0mm,0mm">
                <w:txbxContent>
                  <w:p w14:paraId="51B51081">
                    <w:pPr>
                      <w:pStyle w:val="3"/>
                      <w:rPr>
                        <w:rFonts w:hint="eastAsia" w:ascii="仿宋_GB2312" w:hAnsi="仿宋_GB2312" w:eastAsia="仿宋_GB2312" w:cs="仿宋_GB2312"/>
                      </w:rPr>
                    </w:pP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ZlMDJlNzAwZjM4YzEwYjQzODA2OGUzMzcxYmM1YjkifQ=="/>
  </w:docVars>
  <w:rsids>
    <w:rsidRoot w:val="3631348C"/>
    <w:rsid w:val="02F25158"/>
    <w:rsid w:val="03BD7A19"/>
    <w:rsid w:val="0A352EA2"/>
    <w:rsid w:val="0BE96BA0"/>
    <w:rsid w:val="0C036D82"/>
    <w:rsid w:val="0CD26651"/>
    <w:rsid w:val="102E489E"/>
    <w:rsid w:val="11C96D83"/>
    <w:rsid w:val="139B1E71"/>
    <w:rsid w:val="1D6C5B2B"/>
    <w:rsid w:val="24B82B78"/>
    <w:rsid w:val="29661227"/>
    <w:rsid w:val="2B111C4B"/>
    <w:rsid w:val="2B9B5CD1"/>
    <w:rsid w:val="30501028"/>
    <w:rsid w:val="3072266D"/>
    <w:rsid w:val="32360D72"/>
    <w:rsid w:val="34CD244B"/>
    <w:rsid w:val="3631348C"/>
    <w:rsid w:val="3A360C39"/>
    <w:rsid w:val="3C3164F4"/>
    <w:rsid w:val="3C4F1ACB"/>
    <w:rsid w:val="3EAE3B37"/>
    <w:rsid w:val="41EC11B2"/>
    <w:rsid w:val="427D5C2A"/>
    <w:rsid w:val="44DE02AA"/>
    <w:rsid w:val="4891428E"/>
    <w:rsid w:val="4E822E08"/>
    <w:rsid w:val="5D862462"/>
    <w:rsid w:val="5F4A1529"/>
    <w:rsid w:val="626E5649"/>
    <w:rsid w:val="69775A4E"/>
    <w:rsid w:val="6D0319E0"/>
    <w:rsid w:val="7B72092B"/>
    <w:rsid w:val="7EA44B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4"/>
      <w:lang w:val="en-US" w:eastAsia="zh-CN"/>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2">
    <w:name w:val="Plain Text1"/>
    <w:basedOn w:val="1"/>
    <w:qFormat/>
    <w:uiPriority w:val="0"/>
    <w:rPr>
      <w:rFonts w:ascii="宋体" w:hAnsi="Courier New" w:eastAsia="宋体" w:cs="宋体"/>
      <w:sz w:val="21"/>
      <w:szCs w:val="22"/>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
    <w:name w:val="Default"/>
    <w:qFormat/>
    <w:uiPriority w:val="0"/>
    <w:pPr>
      <w:widowControl w:val="0"/>
      <w:autoSpaceDE w:val="0"/>
      <w:autoSpaceDN w:val="0"/>
      <w:adjustRightInd w:val="0"/>
    </w:pPr>
    <w:rPr>
      <w:rFonts w:ascii="宋体" w:hAnsi="Times New Roman" w:eastAsia="宋体" w:cs="宋体"/>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908</Words>
  <Characters>1003</Characters>
  <Lines>0</Lines>
  <Paragraphs>0</Paragraphs>
  <TotalTime>18</TotalTime>
  <ScaleCrop>false</ScaleCrop>
  <LinksUpToDate>false</LinksUpToDate>
  <CharactersWithSpaces>1040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2024-02-21T01:11:00Z</dcterms:created>
  <dc:creator>梁敏诗</dc:creator>
  <cp:lastModifiedBy>Ly</cp:lastModifiedBy>
  <cp:lastPrinted>2025-10-11T07:58:00Z</cp:lastPrinted>
  <dcterms:modified xsi:type="dcterms:W3CDTF">2025-10-21T08:00:45Z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21CA27C1EDC0415498ACD3986F374A46_13</vt:lpwstr>
  </property>
  <property fmtid="{D5CDD505-2E9C-101B-9397-08002B2CF9AE}" pid="4" name="KSOTemplateDocerSaveRecord">
    <vt:lpwstr>eyJoZGlkIjoiODZlMDJlNzAwZjM4YzEwYjQzODA2OGUzMzcxYmM1YjkiLCJ1c2VySWQiOiI2NDk5NzA1MTQifQ==</vt:lpwstr>
  </property>
</Properties>
</file>