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7D2F3">
      <w:pPr>
        <w:spacing w:beforeLines="0" w:afterLines="0" w:line="560" w:lineRule="exact"/>
        <w:jc w:val="right"/>
        <w:rPr>
          <w:rFonts w:hint="eastAsia" w:ascii="仿宋_GB2312" w:hAnsi="仿宋_GB2312" w:eastAsia="仿宋_GB2312" w:cs="仿宋_GB2312"/>
          <w:color w:val="auto"/>
          <w:sz w:val="32"/>
          <w:szCs w:val="32"/>
          <w:u w:val="none"/>
          <w:lang w:val="en-US" w:eastAsia="zh-CN"/>
        </w:rPr>
      </w:pPr>
    </w:p>
    <w:p w14:paraId="5482D576">
      <w:pPr>
        <w:spacing w:beforeLines="0" w:afterLines="0" w:line="560" w:lineRule="exact"/>
        <w:jc w:val="right"/>
        <w:rPr>
          <w:rFonts w:hint="eastAsia" w:ascii="仿宋_GB2312" w:hAnsi="仿宋_GB2312" w:eastAsia="仿宋_GB2312" w:cs="仿宋_GB2312"/>
          <w:color w:val="auto"/>
          <w:sz w:val="32"/>
          <w:szCs w:val="32"/>
          <w:u w:val="none"/>
          <w:lang w:val="en-US" w:eastAsia="zh-CN"/>
        </w:rPr>
      </w:pPr>
    </w:p>
    <w:p w14:paraId="045A1BB5">
      <w:pPr>
        <w:spacing w:beforeLines="0" w:afterLines="0" w:line="560" w:lineRule="exact"/>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春水水保〔2025〕8号</w:t>
      </w:r>
    </w:p>
    <w:p w14:paraId="3575FDF4">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535F40A1">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r>
        <w:rPr>
          <w:rFonts w:hint="eastAsia" w:ascii="方正小标宋简体" w:hAnsi="方正小标宋简体" w:eastAsia="方正小标宋简体" w:cs="方正小标宋简体"/>
          <w:color w:val="auto"/>
          <w:kern w:val="2"/>
          <w:sz w:val="44"/>
          <w:szCs w:val="44"/>
          <w:u w:val="none"/>
          <w:lang w:val="en-US" w:eastAsia="zh-CN" w:bidi="ar"/>
        </w:rPr>
        <w:t>阳春市城区污水处理厂配套管网建设工程</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kern w:val="2"/>
          <w:sz w:val="44"/>
          <w:szCs w:val="44"/>
          <w:u w:val="none"/>
          <w:lang w:val="en-US" w:eastAsia="zh-CN" w:bidi="ar"/>
        </w:rPr>
        <w:t>水土保持方案</w:t>
      </w:r>
      <w:r>
        <w:rPr>
          <w:rFonts w:hint="eastAsia" w:ascii="方正小标宋简体" w:hAnsi="方正小标宋简体" w:eastAsia="方正小标宋简体" w:cs="方正小标宋简体"/>
          <w:color w:val="auto"/>
          <w:spacing w:val="0"/>
          <w:sz w:val="44"/>
          <w:szCs w:val="44"/>
          <w:u w:val="none"/>
          <w:lang w:val="en-US" w:eastAsia="zh-CN"/>
        </w:rPr>
        <w:t>审批</w:t>
      </w:r>
      <w:bookmarkStart w:id="0" w:name="_GoBack"/>
      <w:bookmarkEnd w:id="0"/>
      <w:r>
        <w:rPr>
          <w:rFonts w:hint="eastAsia" w:ascii="方正小标宋简体" w:hAnsi="方正小标宋简体" w:eastAsia="方正小标宋简体" w:cs="方正小标宋简体"/>
          <w:color w:val="auto"/>
          <w:spacing w:val="0"/>
          <w:sz w:val="44"/>
          <w:szCs w:val="44"/>
          <w:u w:val="none"/>
          <w:lang w:val="en-US" w:eastAsia="zh-CN"/>
        </w:rPr>
        <w:t>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eastAsia" w:ascii="仿宋_GB2312" w:hAnsi="仿宋_GB2312" w:eastAsia="仿宋_GB2312" w:cs="仿宋_GB2312"/>
          <w:color w:val="auto"/>
          <w:sz w:val="32"/>
          <w:szCs w:val="32"/>
          <w:u w:val="none"/>
          <w:lang w:bidi="ar"/>
        </w:rPr>
      </w:pPr>
      <w:r>
        <w:rPr>
          <w:rFonts w:hint="eastAsia" w:ascii="仿宋_GB2312" w:hAnsi="仿宋_GB2312" w:eastAsia="仿宋_GB2312" w:cs="仿宋_GB2312"/>
          <w:color w:val="000000"/>
          <w:kern w:val="0"/>
          <w:sz w:val="32"/>
          <w:szCs w:val="32"/>
          <w:lang w:val="en-US" w:eastAsia="zh-CN" w:bidi="ar"/>
        </w:rPr>
        <w:t>阳春市城市管理和综合执法局</w:t>
      </w:r>
      <w:r>
        <w:rPr>
          <w:rFonts w:hint="eastAsia" w:ascii="仿宋_GB2312" w:hAnsi="仿宋_GB2312" w:eastAsia="仿宋_GB2312" w:cs="仿宋_GB2312"/>
          <w:color w:val="auto"/>
          <w:sz w:val="32"/>
          <w:szCs w:val="32"/>
          <w:u w:val="none"/>
          <w:lang w:bidi="ar"/>
        </w:rPr>
        <w:t>：</w:t>
      </w:r>
    </w:p>
    <w:p w14:paraId="79042EAB">
      <w:pPr>
        <w:spacing w:beforeLines="0" w:afterLines="0" w:line="572" w:lineRule="exact"/>
        <w:ind w:firstLine="651"/>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于</w:t>
      </w:r>
      <w:r>
        <w:rPr>
          <w:rFonts w:hint="eastAsia" w:ascii="仿宋_GB2312" w:hAnsi="仿宋_GB2312" w:eastAsia="仿宋_GB2312" w:cs="仿宋_GB2312"/>
          <w:color w:val="auto"/>
          <w:sz w:val="32"/>
          <w:szCs w:val="32"/>
          <w:u w:val="none"/>
          <w:lang w:val="en-US" w:eastAsia="zh-CN"/>
        </w:rPr>
        <w:t>2025年10月10日</w:t>
      </w:r>
      <w:r>
        <w:rPr>
          <w:rFonts w:hint="eastAsia" w:ascii="仿宋_GB2312" w:hAnsi="仿宋_GB2312" w:eastAsia="仿宋_GB2312" w:cs="仿宋_GB2312"/>
          <w:sz w:val="32"/>
          <w:szCs w:val="32"/>
        </w:rPr>
        <w:t>收到你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color w:val="auto"/>
          <w:kern w:val="2"/>
          <w:sz w:val="32"/>
          <w:szCs w:val="32"/>
          <w:u w:val="none"/>
          <w:lang w:val="en-US" w:eastAsia="zh-CN" w:bidi="ar"/>
        </w:rPr>
        <w:t>阳春市城区污水处理厂配套管网建设工程水土保持方案</w:t>
      </w:r>
      <w:r>
        <w:rPr>
          <w:rFonts w:hint="eastAsia" w:ascii="仿宋_GB2312" w:hAnsi="仿宋_GB2312" w:eastAsia="仿宋_GB2312" w:cs="仿宋_GB2312"/>
          <w:sz w:val="32"/>
          <w:szCs w:val="32"/>
          <w:lang w:eastAsia="zh-CN"/>
        </w:rPr>
        <w:t>申请材料（包括</w:t>
      </w:r>
      <w:r>
        <w:rPr>
          <w:rFonts w:hint="eastAsia" w:ascii="仿宋_GB2312" w:hAnsi="仿宋_GB2312" w:eastAsia="仿宋_GB2312" w:cs="仿宋_GB2312"/>
          <w:sz w:val="32"/>
          <w:szCs w:val="32"/>
          <w:lang w:val="en-US" w:eastAsia="zh-CN"/>
        </w:rPr>
        <w:t>项目水土保持方案审批申请、项目水土保持方案及项目水土保持方案审批承诺书、</w:t>
      </w:r>
      <w:r>
        <w:rPr>
          <w:rFonts w:hint="eastAsia" w:ascii="仿宋_GB2312" w:hAnsi="仿宋_GB2312" w:eastAsia="仿宋_GB2312" w:cs="仿宋_GB2312"/>
          <w:i w:val="0"/>
          <w:caps w:val="0"/>
          <w:color w:val="auto"/>
          <w:spacing w:val="0"/>
          <w:sz w:val="32"/>
          <w:szCs w:val="32"/>
        </w:rPr>
        <w:t>水土流失防治责任范围图shp格式</w:t>
      </w:r>
      <w:r>
        <w:rPr>
          <w:rFonts w:hint="eastAsia" w:ascii="仿宋_GB2312" w:hAnsi="仿宋_GB2312" w:eastAsia="仿宋_GB2312" w:cs="仿宋_GB2312"/>
          <w:i w:val="0"/>
          <w:caps w:val="0"/>
          <w:color w:val="auto"/>
          <w:spacing w:val="0"/>
          <w:sz w:val="32"/>
          <w:szCs w:val="32"/>
          <w:u w:val="none"/>
          <w:lang w:eastAsia="zh-CN"/>
        </w:rPr>
        <w:t>文件</w:t>
      </w:r>
      <w:r>
        <w:rPr>
          <w:rFonts w:hint="eastAsia" w:ascii="仿宋_GB2312" w:hAnsi="仿宋_GB2312" w:eastAsia="仿宋_GB2312" w:cs="仿宋_GB2312"/>
          <w:i w:val="0"/>
          <w:caps w:val="0"/>
          <w:color w:val="auto"/>
          <w:spacing w:val="0"/>
          <w:sz w:val="32"/>
          <w:szCs w:val="32"/>
          <w:u w:val="none"/>
          <w:lang w:val="en-US" w:eastAsia="zh-CN"/>
        </w:rPr>
        <w:t>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color w:val="auto"/>
          <w:sz w:val="32"/>
          <w:szCs w:val="32"/>
          <w:u w:val="none"/>
          <w:lang w:val="en-US" w:eastAsia="zh-CN"/>
        </w:rPr>
        <w:t>2025年10月10日</w:t>
      </w:r>
      <w:r>
        <w:rPr>
          <w:rFonts w:hint="eastAsia" w:ascii="仿宋_GB2312" w:hAnsi="仿宋_GB2312" w:eastAsia="仿宋_GB2312" w:cs="仿宋_GB2312"/>
          <w:sz w:val="32"/>
          <w:szCs w:val="32"/>
        </w:rPr>
        <w:t>受理你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提出的</w:t>
      </w:r>
      <w:r>
        <w:rPr>
          <w:rFonts w:hint="eastAsia" w:ascii="仿宋_GB2312" w:hAnsi="仿宋_GB2312" w:eastAsia="仿宋_GB2312" w:cs="仿宋_GB2312"/>
          <w:color w:val="auto"/>
          <w:kern w:val="2"/>
          <w:sz w:val="32"/>
          <w:szCs w:val="32"/>
          <w:u w:val="none"/>
          <w:lang w:val="en-US" w:eastAsia="zh-CN" w:bidi="ar"/>
        </w:rPr>
        <w:t>阳春市城区污水处理厂配套管网建设工程水土保持方案</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申请。经</w:t>
      </w:r>
      <w:r>
        <w:rPr>
          <w:rFonts w:hint="eastAsia" w:ascii="仿宋_GB2312" w:hAnsi="仿宋_GB2312" w:eastAsia="仿宋_GB2312" w:cs="仿宋_GB2312"/>
          <w:sz w:val="32"/>
          <w:szCs w:val="32"/>
          <w:lang w:val="en-US" w:eastAsia="zh-CN"/>
        </w:rPr>
        <w:t>程序性</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我局认为你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提交的申请材料符合法定条件。</w:t>
      </w:r>
      <w:r>
        <w:rPr>
          <w:rFonts w:hint="eastAsia" w:ascii="仿宋_GB2312" w:hAnsi="仿宋_GB2312" w:eastAsia="仿宋_GB2312" w:cs="仿宋_GB2312"/>
          <w:spacing w:val="0"/>
          <w:kern w:val="2"/>
          <w:sz w:val="32"/>
          <w:szCs w:val="32"/>
        </w:rPr>
        <w:t>根据</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同意建设期水土流失防治责任范围为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kern w:val="2"/>
          <w:sz w:val="32"/>
          <w:szCs w:val="32"/>
          <w:u w:val="single"/>
          <w:lang w:val="en-US" w:eastAsia="zh-CN" w:bidi="ar"/>
        </w:rPr>
        <w:t xml:space="preserve">31.80 </w:t>
      </w:r>
      <w:r>
        <w:rPr>
          <w:rFonts w:hint="eastAsia" w:ascii="仿宋_GB2312" w:hAnsi="仿宋_GB2312" w:eastAsia="仿宋_GB2312" w:cs="仿宋_GB2312"/>
          <w:sz w:val="32"/>
          <w:szCs w:val="32"/>
        </w:rPr>
        <w:t>公顷。</w:t>
      </w:r>
    </w:p>
    <w:p w14:paraId="339B8AA1">
      <w:pPr>
        <w:spacing w:beforeLines="0" w:afterLines="0" w:line="572"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（二）同意水土流失防治</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u w:val="single"/>
          <w:lang w:eastAsia="zh-CN"/>
        </w:rPr>
        <w:t>南方红壤</w:t>
      </w:r>
      <w:r>
        <w:rPr>
          <w:rFonts w:hint="eastAsia" w:ascii="仿宋_GB2312" w:hAnsi="仿宋_GB2312" w:eastAsia="仿宋_GB2312" w:cs="仿宋_GB2312"/>
          <w:sz w:val="32"/>
          <w:szCs w:val="32"/>
          <w:u w:val="single"/>
          <w:lang w:val="en-US" w:eastAsia="zh-CN"/>
        </w:rPr>
        <w:t>区</w:t>
      </w:r>
      <w:r>
        <w:rPr>
          <w:rFonts w:hint="eastAsia" w:ascii="仿宋_GB2312" w:hAnsi="仿宋_GB2312" w:eastAsia="仿宋_GB2312" w:cs="仿宋_GB2312"/>
          <w:sz w:val="32"/>
          <w:szCs w:val="32"/>
          <w:u w:val="single"/>
          <w:lang w:eastAsia="zh-CN"/>
        </w:rPr>
        <w:t>建设类项目</w:t>
      </w:r>
      <w:r>
        <w:rPr>
          <w:rFonts w:hint="eastAsia" w:ascii="仿宋_GB2312" w:hAnsi="仿宋_GB2312" w:eastAsia="仿宋_GB2312" w:cs="仿宋_GB2312"/>
          <w:sz w:val="32"/>
          <w:szCs w:val="32"/>
          <w:u w:val="single"/>
          <w:lang w:val="en-US" w:eastAsia="zh-CN"/>
        </w:rPr>
        <w:t>一</w:t>
      </w:r>
      <w:r>
        <w:rPr>
          <w:rFonts w:hint="eastAsia" w:ascii="仿宋_GB2312" w:hAnsi="仿宋_GB2312" w:eastAsia="仿宋_GB2312" w:cs="仿宋_GB2312"/>
          <w:sz w:val="32"/>
          <w:szCs w:val="32"/>
          <w:u w:val="single"/>
        </w:rPr>
        <w:t>级标准</w:t>
      </w:r>
      <w:r>
        <w:rPr>
          <w:rFonts w:hint="eastAsia" w:ascii="仿宋_GB2312" w:hAnsi="仿宋_GB2312" w:eastAsia="仿宋_GB2312" w:cs="仿宋_GB2312"/>
          <w:sz w:val="32"/>
          <w:szCs w:val="32"/>
        </w:rPr>
        <w:t>。</w:t>
      </w:r>
    </w:p>
    <w:p w14:paraId="1DF330D2">
      <w:pPr>
        <w:spacing w:beforeLines="0" w:afterLines="0"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（三）同意水土流失防治目标为：</w:t>
      </w:r>
      <w:r>
        <w:rPr>
          <w:rFonts w:hint="eastAsia" w:ascii="仿宋_GB2312" w:hAnsi="仿宋_GB2312" w:eastAsia="仿宋_GB2312" w:cs="仿宋_GB2312"/>
          <w:color w:val="auto"/>
          <w:sz w:val="32"/>
          <w:szCs w:val="32"/>
        </w:rPr>
        <w:t>水土流失总治理度</w:t>
      </w:r>
      <w:r>
        <w:rPr>
          <w:rFonts w:hint="eastAsia" w:ascii="仿宋_GB2312" w:hAnsi="仿宋_GB2312" w:eastAsia="仿宋_GB2312" w:cs="仿宋_GB2312"/>
          <w:color w:val="auto"/>
          <w:sz w:val="32"/>
          <w:szCs w:val="32"/>
          <w:u w:val="single"/>
          <w:lang w:val="en-US" w:eastAsia="zh-CN"/>
        </w:rPr>
        <w:t>98</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，土壤流失控制比</w:t>
      </w:r>
      <w:r>
        <w:rPr>
          <w:rFonts w:hint="eastAsia" w:ascii="仿宋_GB2312" w:hAnsi="仿宋_GB2312" w:eastAsia="仿宋_GB2312" w:cs="仿宋_GB2312"/>
          <w:color w:val="auto"/>
          <w:sz w:val="32"/>
          <w:szCs w:val="32"/>
          <w:u w:val="single"/>
          <w:lang w:val="en-US" w:eastAsia="zh-CN"/>
        </w:rPr>
        <w:t xml:space="preserve">1.0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渣土防护率</w:t>
      </w:r>
      <w:r>
        <w:rPr>
          <w:rFonts w:hint="eastAsia" w:ascii="仿宋_GB2312" w:hAnsi="仿宋_GB2312" w:eastAsia="仿宋_GB2312" w:cs="仿宋_GB2312"/>
          <w:color w:val="auto"/>
          <w:sz w:val="32"/>
          <w:szCs w:val="32"/>
          <w:u w:val="single"/>
          <w:lang w:val="en-US" w:eastAsia="zh-CN"/>
        </w:rPr>
        <w:t xml:space="preserve"> 92</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lang w:val="en-US" w:eastAsia="zh-CN"/>
        </w:rPr>
        <w:t>林草植被恢复率</w:t>
      </w:r>
      <w:r>
        <w:rPr>
          <w:rFonts w:hint="eastAsia" w:ascii="仿宋_GB2312" w:hAnsi="仿宋_GB2312" w:eastAsia="仿宋_GB2312" w:cs="仿宋_GB2312"/>
          <w:color w:val="auto"/>
          <w:sz w:val="32"/>
          <w:szCs w:val="32"/>
          <w:u w:val="single"/>
          <w:lang w:val="en-US" w:eastAsia="zh-CN"/>
        </w:rPr>
        <w:t xml:space="preserve"> 98</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，林草覆盖率</w:t>
      </w:r>
      <w:r>
        <w:rPr>
          <w:rFonts w:hint="eastAsia" w:ascii="仿宋_GB2312" w:hAnsi="仿宋_GB2312" w:eastAsia="仿宋_GB2312" w:cs="仿宋_GB2312"/>
          <w:color w:val="auto"/>
          <w:sz w:val="32"/>
          <w:szCs w:val="32"/>
          <w:u w:val="single"/>
          <w:lang w:val="en-US" w:eastAsia="zh-CN"/>
        </w:rPr>
        <w:t>0.6</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w:t>
      </w:r>
    </w:p>
    <w:p w14:paraId="68BB5B41">
      <w:pPr>
        <w:spacing w:beforeLines="0" w:afterLines="0" w:line="572" w:lineRule="exact"/>
        <w:ind w:right="105" w:rightChars="50" w:firstLine="65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（四）</w:t>
      </w:r>
      <w:r>
        <w:rPr>
          <w:rFonts w:hint="eastAsia" w:ascii="仿宋_GB2312" w:hAnsi="仿宋_GB2312" w:eastAsia="仿宋_GB2312" w:cs="仿宋_GB2312"/>
          <w:color w:val="auto"/>
          <w:sz w:val="32"/>
          <w:szCs w:val="32"/>
        </w:rPr>
        <w:t>基本同意水土流失防治分区及分区防治措施安排。</w:t>
      </w:r>
    </w:p>
    <w:p w14:paraId="089B029F">
      <w:pPr>
        <w:numPr>
          <w:ilvl w:val="0"/>
          <w:numId w:val="1"/>
        </w:numPr>
        <w:spacing w:beforeLines="0" w:afterLines="0" w:line="572" w:lineRule="exact"/>
        <w:ind w:right="105" w:rightChars="50" w:firstLine="65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4"/>
          <w:sz w:val="32"/>
          <w:szCs w:val="32"/>
          <w:highlight w:val="none"/>
          <w:lang w:eastAsia="zh-CN"/>
        </w:rPr>
        <w:t>同意建设期水土保持补偿费为</w:t>
      </w:r>
      <w:r>
        <w:rPr>
          <w:rFonts w:hint="eastAsia" w:ascii="仿宋_GB2312" w:hAnsi="仿宋_GB2312" w:eastAsia="仿宋_GB2312" w:cs="仿宋_GB2312"/>
          <w:color w:val="auto"/>
          <w:spacing w:val="4"/>
          <w:sz w:val="32"/>
          <w:szCs w:val="32"/>
          <w:highlight w:val="none"/>
          <w:u w:val="single"/>
          <w:lang w:val="en-US" w:eastAsia="zh-CN"/>
        </w:rPr>
        <w:t>190794</w:t>
      </w:r>
      <w:r>
        <w:rPr>
          <w:rFonts w:hint="eastAsia" w:ascii="仿宋_GB2312" w:hAnsi="仿宋_GB2312" w:eastAsia="仿宋_GB2312" w:cs="仿宋_GB2312"/>
          <w:color w:val="auto"/>
          <w:spacing w:val="4"/>
          <w:sz w:val="32"/>
          <w:szCs w:val="32"/>
          <w:highlight w:val="none"/>
          <w:lang w:eastAsia="zh-CN"/>
        </w:rPr>
        <w:t>元（补偿面</w:t>
      </w:r>
      <w:r>
        <w:rPr>
          <w:rFonts w:hint="eastAsia" w:ascii="仿宋_GB2312" w:hAnsi="仿宋_GB2312" w:eastAsia="仿宋_GB2312" w:cs="仿宋_GB2312"/>
          <w:color w:val="auto"/>
          <w:spacing w:val="4"/>
          <w:sz w:val="32"/>
          <w:szCs w:val="32"/>
          <w:highlight w:val="none"/>
          <w:lang w:val="en-US" w:eastAsia="zh-CN"/>
        </w:rPr>
        <w:t>积</w:t>
      </w:r>
      <w:r>
        <w:rPr>
          <w:rFonts w:hint="eastAsia" w:ascii="仿宋_GB2312" w:hAnsi="仿宋_GB2312" w:eastAsia="仿宋_GB2312" w:cs="仿宋_GB2312"/>
          <w:color w:val="auto"/>
          <w:spacing w:val="4"/>
          <w:kern w:val="2"/>
          <w:sz w:val="32"/>
          <w:szCs w:val="32"/>
          <w:highlight w:val="none"/>
          <w:u w:val="none"/>
          <w:lang w:val="en-US" w:eastAsia="zh-CN" w:bidi="ar"/>
        </w:rPr>
        <w:t>317990</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0.6</w:t>
      </w:r>
      <w:r>
        <w:rPr>
          <w:rFonts w:hint="eastAsia" w:ascii="仿宋_GB2312" w:hAnsi="仿宋_GB2312" w:eastAsia="仿宋_GB2312" w:cs="仿宋_GB2312"/>
          <w:color w:val="auto"/>
          <w:spacing w:val="4"/>
          <w:sz w:val="32"/>
          <w:szCs w:val="32"/>
          <w:highlight w:val="none"/>
          <w:lang w:eastAsia="zh-CN"/>
        </w:rPr>
        <w:t>元/㎡)，</w:t>
      </w:r>
      <w:r>
        <w:rPr>
          <w:rFonts w:hint="eastAsia" w:ascii="仿宋_GB2312" w:hAnsi="仿宋_GB2312" w:eastAsia="仿宋_GB2312" w:cs="仿宋_GB2312"/>
          <w:color w:val="auto"/>
          <w:spacing w:val="4"/>
          <w:sz w:val="32"/>
          <w:szCs w:val="32"/>
          <w:highlight w:val="none"/>
        </w:rPr>
        <w:t>根据《广东省发展改革委广东省财政厅广东省水利厅关于规范水土保持补偿费征收标准的通知》（粤发改价格〔2021〕231号），该项目需缴纳水土保持补偿费为</w:t>
      </w:r>
      <w:r>
        <w:rPr>
          <w:rFonts w:hint="eastAsia" w:ascii="仿宋_GB2312" w:hAnsi="仿宋_GB2312" w:eastAsia="仿宋_GB2312" w:cs="仿宋_GB2312"/>
          <w:color w:val="auto"/>
          <w:spacing w:val="4"/>
          <w:sz w:val="32"/>
          <w:szCs w:val="32"/>
          <w:highlight w:val="none"/>
          <w:u w:val="single"/>
          <w:lang w:val="en-US" w:eastAsia="zh-CN"/>
        </w:rPr>
        <w:t>190794</w:t>
      </w:r>
      <w:r>
        <w:rPr>
          <w:rFonts w:hint="eastAsia" w:ascii="仿宋_GB2312" w:hAnsi="仿宋_GB2312" w:eastAsia="仿宋_GB2312" w:cs="仿宋_GB2312"/>
          <w:color w:val="auto"/>
          <w:spacing w:val="4"/>
          <w:sz w:val="32"/>
          <w:szCs w:val="32"/>
          <w:highlight w:val="none"/>
        </w:rPr>
        <w:t>元</w:t>
      </w:r>
      <w:r>
        <w:rPr>
          <w:rFonts w:hint="eastAsia" w:ascii="仿宋_GB2312" w:hAnsi="仿宋_GB2312" w:eastAsia="仿宋_GB2312" w:cs="仿宋_GB2312"/>
          <w:color w:val="auto"/>
          <w:spacing w:val="4"/>
          <w:sz w:val="32"/>
          <w:szCs w:val="32"/>
          <w:highlight w:val="none"/>
          <w:lang w:eastAsia="zh-CN"/>
        </w:rPr>
        <w:t>。</w:t>
      </w:r>
    </w:p>
    <w:p w14:paraId="2B49954E">
      <w:pPr>
        <w:numPr>
          <w:ilvl w:val="0"/>
          <w:numId w:val="0"/>
        </w:numPr>
        <w:spacing w:beforeLines="0" w:afterLines="0" w:line="572" w:lineRule="exact"/>
        <w:ind w:right="105" w:rightChars="50" w:firstLine="640" w:firstLineChars="200"/>
        <w:rPr>
          <w:rFonts w:hint="eastAsia" w:ascii="仿宋_GB2312" w:hAnsi="仿宋_GB2312" w:eastAsia="仿宋_GB2312" w:cs="仿宋_GB2312"/>
          <w:sz w:val="32"/>
          <w:szCs w:val="32"/>
          <w:lang w:val="en-US" w:eastAsia="zh-CN"/>
        </w:rPr>
      </w:pPr>
    </w:p>
    <w:p w14:paraId="47C98434">
      <w:pPr>
        <w:widowControl/>
        <w:spacing w:beforeLines="0" w:afterLines="0" w:line="572" w:lineRule="exact"/>
        <w:ind w:left="1558" w:leftChars="285" w:hanging="960" w:hangingChars="300"/>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auto"/>
          <w:kern w:val="2"/>
          <w:sz w:val="32"/>
          <w:szCs w:val="32"/>
          <w:u w:val="none"/>
          <w:lang w:val="en-US" w:eastAsia="zh-CN" w:bidi="ar"/>
        </w:rPr>
        <w:t>阳春市城区污水处理厂配套管网建设工程水土保持方</w:t>
      </w:r>
    </w:p>
    <w:p w14:paraId="7B9599BC">
      <w:pPr>
        <w:widowControl/>
        <w:spacing w:beforeLines="0" w:afterLines="0" w:line="572" w:lineRule="exact"/>
        <w:ind w:left="1197" w:leftChars="570" w:firstLine="320" w:firstLineChars="10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auto"/>
          <w:kern w:val="2"/>
          <w:sz w:val="32"/>
          <w:szCs w:val="32"/>
          <w:u w:val="none"/>
          <w:lang w:val="en-US" w:eastAsia="zh-CN" w:bidi="ar"/>
        </w:rPr>
        <w:t>案</w:t>
      </w:r>
      <w:r>
        <w:rPr>
          <w:rFonts w:hint="eastAsia" w:ascii="仿宋_GB2312" w:hAnsi="仿宋_GB2312" w:eastAsia="仿宋_GB2312" w:cs="仿宋_GB2312"/>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仿宋_GB2312" w:hAnsi="仿宋_GB2312" w:eastAsia="仿宋_GB2312" w:cs="仿宋_GB2312"/>
          <w:color w:val="000000"/>
          <w:sz w:val="32"/>
          <w:szCs w:val="32"/>
          <w:lang w:val="en-US" w:eastAsia="zh-CN"/>
        </w:rPr>
      </w:pPr>
    </w:p>
    <w:p w14:paraId="4CE4C9F8">
      <w:pPr>
        <w:spacing w:beforeLines="0" w:afterLines="0" w:line="572" w:lineRule="exact"/>
        <w:ind w:left="0" w:leftChars="0" w:firstLine="0" w:firstLineChars="0"/>
        <w:rPr>
          <w:rFonts w:hint="eastAsia" w:ascii="仿宋_GB2312" w:hAnsi="仿宋_GB2312" w:eastAsia="仿宋_GB2312" w:cs="仿宋_GB2312"/>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14</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eastAsia" w:ascii="仿宋_GB2312" w:hAnsi="仿宋_GB2312" w:eastAsia="仿宋_GB2312" w:cs="仿宋_GB2312"/>
          <w:sz w:val="32"/>
          <w:szCs w:val="32"/>
          <w:u w:val="none"/>
          <w:lang w:val="en-US" w:eastAsia="zh-CN"/>
        </w:rPr>
      </w:pPr>
    </w:p>
    <w:p w14:paraId="09D9ACEB"/>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20A65"/>
    <w:rsid w:val="6042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2025-12-04T03:38:00Z</dcterms:created>
  <dc:creator>-陈 开 心。</dc:creator>
  <cp:lastModifiedBy>-陈 开 心。</cp:lastModifiedBy>
  <dcterms:modified xsi:type="dcterms:W3CDTF">2025-12-04T03:38:55Z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D71ADE6721C84FB1B549B86F156BFEEC_11</vt:lpwstr>
  </property>
  <property fmtid="{D5CDD505-2E9C-101B-9397-08002B2CF9AE}" pid="4" name="KSOTemplateDocerSaveRecord">
    <vt:lpwstr>eyJoZGlkIjoiMzJjMzEyM2Q3ODhiNzI1ZDQ1NDNlOWYzYTU0MzhkY2IiLCJ1c2VySWQiOiI3MTE4ODk1NDIifQ==</vt:lpwstr>
  </property>
</Properties>
</file>