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9D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-449" w:rightChars="-214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11AD1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-449" w:rightChars="-214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阳春市殡仪馆职工饭堂食材配送比选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</w:rPr>
        <w:t>提交资料一览表</w:t>
      </w:r>
    </w:p>
    <w:p w14:paraId="1D8505A6">
      <w:pPr>
        <w:widowControl/>
        <w:spacing w:line="4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申请单位（盖章）：</w:t>
      </w:r>
    </w:p>
    <w:tbl>
      <w:tblPr>
        <w:tblStyle w:val="7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855"/>
        <w:gridCol w:w="901"/>
        <w:gridCol w:w="1150"/>
        <w:gridCol w:w="1200"/>
        <w:gridCol w:w="888"/>
        <w:gridCol w:w="1085"/>
      </w:tblGrid>
      <w:tr w14:paraId="05CA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E7A94">
            <w:pPr>
              <w:keepNext w:val="0"/>
              <w:keepLines w:val="0"/>
              <w:pageBreakBefore w:val="0"/>
              <w:widowControl/>
              <w:tabs>
                <w:tab w:val="left" w:pos="7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hanging="42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1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6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登记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资料页码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9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登记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提交资料要求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5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审核情况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1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登记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人确认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15D6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0C37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4CF8"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 w:hanging="42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18"/>
                <w:highlight w:val="none"/>
              </w:rPr>
            </w:pPr>
          </w:p>
        </w:tc>
        <w:tc>
          <w:tcPr>
            <w:tcW w:w="3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D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18"/>
                <w:highlight w:val="none"/>
              </w:rPr>
            </w:pPr>
          </w:p>
        </w:tc>
        <w:tc>
          <w:tcPr>
            <w:tcW w:w="9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5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18"/>
                <w:highlight w:val="none"/>
              </w:rPr>
            </w:pPr>
          </w:p>
        </w:tc>
        <w:tc>
          <w:tcPr>
            <w:tcW w:w="1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5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1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C3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(由收案人员填写)</w:t>
            </w:r>
          </w:p>
        </w:tc>
        <w:tc>
          <w:tcPr>
            <w:tcW w:w="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C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color w:val="auto"/>
                <w:kern w:val="0"/>
                <w:sz w:val="18"/>
                <w:highlight w:val="none"/>
              </w:rPr>
            </w:pPr>
          </w:p>
        </w:tc>
        <w:tc>
          <w:tcPr>
            <w:tcW w:w="10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5A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color w:val="auto"/>
                <w:kern w:val="0"/>
                <w:sz w:val="18"/>
                <w:highlight w:val="none"/>
              </w:rPr>
            </w:pPr>
          </w:p>
        </w:tc>
      </w:tr>
      <w:tr w14:paraId="7FED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39F47"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 w:hanging="4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1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6B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  <w:t>登记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申请函（格式按附件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提供）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1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B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2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1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3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13D8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3F2B3"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 w:hanging="4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2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F9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60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法人代表证明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、法人代表授权委托书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  <w:t>（格式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自拟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  <w:t>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A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A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5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67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9B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7E6E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AEC34"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 w:hanging="4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3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4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法人及法人代表授权人身份证复印件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4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1F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原件备查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B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A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14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3634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6C083"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 w:hanging="4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4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0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有效的企业营业执照副本复印件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61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A7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营业执照原件备查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8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1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B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7F6A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C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5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0E4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  <w:t>具有在有效期内的《食品生产许可证》《食品经营许可证》或《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  <w:t>食品药品生产经营许可证》（提供有效期内的证书复印件，如国家另有规定，则适用其规定）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A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9F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原件备查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E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BE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F2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1FB7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E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6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63A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比选截止日前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个月内任意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个月依法缴纳税收和社会保障资金的相关材料。如依法免税或不需要缴纳社会保障资金的，提供相应证明材料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C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5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2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0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49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2E8D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2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7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BC99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年度财务状况报告或基本开户行出具的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  <w:t>资信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证明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E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A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CC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6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3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3810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D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8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CB4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运送车辆及驾驶员须具备合法手续及合法证件复印件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6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44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  <w:t>原件备查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AB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7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2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3B4D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4D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4D3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公开比选申请人声明（格式按附件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提供）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8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4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5A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F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5B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2B3E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3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10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3007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提供服务方案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：商务部分（同类项目业绩、配送车辆、仓储情况、食品安全责任险）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技术部分（配送方案、应急方案、食品安全检测能力、信息化管理等）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9E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C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47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1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A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16D2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D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val="en-US" w:eastAsia="zh-CN"/>
              </w:rPr>
              <w:t>11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154B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（格式按附件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提供）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5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D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73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B6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1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highlight w:val="none"/>
                <w:lang w:eastAsia="zh-CN"/>
              </w:rPr>
              <w:t>单独密封</w:t>
            </w:r>
          </w:p>
        </w:tc>
      </w:tr>
    </w:tbl>
    <w:p w14:paraId="6CDF9E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2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此表附于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登记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资料内首页，作为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登记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资料目录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。</w:t>
      </w:r>
    </w:p>
    <w:p w14:paraId="0509D6E4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280" w:lineRule="exact"/>
        <w:ind w:left="630" w:leftChars="200" w:hanging="210" w:hanging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因特殊原因无法提供书面资料原件的，应书面说明原因并提供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证明材料，由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依法认定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eastAsia="zh-CN"/>
        </w:rPr>
        <w:t>登记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</w:rPr>
        <w:t>申请人提交的证明材料是否具有原件的证明效力。</w:t>
      </w:r>
    </w:p>
    <w:p w14:paraId="52B52470">
      <w:pPr>
        <w:pStyle w:val="2"/>
        <w:numPr>
          <w:ilvl w:val="0"/>
          <w:numId w:val="0"/>
        </w:numPr>
        <w:rPr>
          <w:rFonts w:hint="eastAsia"/>
        </w:rPr>
      </w:pPr>
    </w:p>
    <w:p w14:paraId="3AC1FCF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8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4AC09F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right="252" w:firstLine="360" w:firstLineChars="150"/>
        <w:jc w:val="left"/>
        <w:textAlignment w:val="auto"/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收案人员签名：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eastAsia="zh-CN"/>
        </w:rPr>
        <w:t>登记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申请人代表签名：</w:t>
      </w:r>
    </w:p>
    <w:sectPr>
      <w:pgSz w:w="11906" w:h="16838"/>
      <w:pgMar w:top="2041" w:right="1531" w:bottom="204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0B59FF"/>
    <w:multiLevelType w:val="singleLevel"/>
    <w:tmpl w:val="D90B59F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ZTAzYWQzZjE5MzQyZGU4YTU0YTJiNDQ0NGViYWYifQ=="/>
  </w:docVars>
  <w:rsids>
    <w:rsidRoot w:val="00172A27"/>
    <w:rsid w:val="00086070"/>
    <w:rsid w:val="000C13ED"/>
    <w:rsid w:val="0010638A"/>
    <w:rsid w:val="00187B02"/>
    <w:rsid w:val="00303F37"/>
    <w:rsid w:val="00353DD8"/>
    <w:rsid w:val="00374B4F"/>
    <w:rsid w:val="00434BF9"/>
    <w:rsid w:val="00496ADE"/>
    <w:rsid w:val="004D1FA3"/>
    <w:rsid w:val="004E7CB7"/>
    <w:rsid w:val="004F139D"/>
    <w:rsid w:val="004F3D6E"/>
    <w:rsid w:val="00523241"/>
    <w:rsid w:val="005D1FD6"/>
    <w:rsid w:val="005D7864"/>
    <w:rsid w:val="00667BCD"/>
    <w:rsid w:val="006E7802"/>
    <w:rsid w:val="007337EA"/>
    <w:rsid w:val="00736E0C"/>
    <w:rsid w:val="0073732E"/>
    <w:rsid w:val="00737CB8"/>
    <w:rsid w:val="00753662"/>
    <w:rsid w:val="0076552B"/>
    <w:rsid w:val="007951A6"/>
    <w:rsid w:val="008A13A3"/>
    <w:rsid w:val="008E72E1"/>
    <w:rsid w:val="009759E7"/>
    <w:rsid w:val="00AD4409"/>
    <w:rsid w:val="00AE1B80"/>
    <w:rsid w:val="00B923F8"/>
    <w:rsid w:val="00BE0446"/>
    <w:rsid w:val="00BF5F04"/>
    <w:rsid w:val="00CF6763"/>
    <w:rsid w:val="00D07373"/>
    <w:rsid w:val="00D26ECF"/>
    <w:rsid w:val="00D62868"/>
    <w:rsid w:val="00D863AB"/>
    <w:rsid w:val="00DF3C92"/>
    <w:rsid w:val="00E21CA4"/>
    <w:rsid w:val="00E21E84"/>
    <w:rsid w:val="00E3426F"/>
    <w:rsid w:val="00E8504E"/>
    <w:rsid w:val="00EF32BF"/>
    <w:rsid w:val="00F0390C"/>
    <w:rsid w:val="00F17426"/>
    <w:rsid w:val="00F647C3"/>
    <w:rsid w:val="00F723EF"/>
    <w:rsid w:val="00F85D1D"/>
    <w:rsid w:val="00F86B74"/>
    <w:rsid w:val="00FE776F"/>
    <w:rsid w:val="01DD2C27"/>
    <w:rsid w:val="02365A56"/>
    <w:rsid w:val="028C404A"/>
    <w:rsid w:val="02D91B04"/>
    <w:rsid w:val="035B3F7B"/>
    <w:rsid w:val="03765255"/>
    <w:rsid w:val="04722E2B"/>
    <w:rsid w:val="04A511E9"/>
    <w:rsid w:val="04C42FB8"/>
    <w:rsid w:val="05061075"/>
    <w:rsid w:val="05D709B3"/>
    <w:rsid w:val="07140086"/>
    <w:rsid w:val="077F185F"/>
    <w:rsid w:val="07AA1BBE"/>
    <w:rsid w:val="07C76130"/>
    <w:rsid w:val="09043395"/>
    <w:rsid w:val="096B1B3E"/>
    <w:rsid w:val="099B7417"/>
    <w:rsid w:val="0AF43241"/>
    <w:rsid w:val="0B090DDD"/>
    <w:rsid w:val="0B2A42D0"/>
    <w:rsid w:val="0B794F08"/>
    <w:rsid w:val="0C984572"/>
    <w:rsid w:val="0C9B2B27"/>
    <w:rsid w:val="10525131"/>
    <w:rsid w:val="10622DD2"/>
    <w:rsid w:val="10923E54"/>
    <w:rsid w:val="117229A1"/>
    <w:rsid w:val="11A421CF"/>
    <w:rsid w:val="11FB26D1"/>
    <w:rsid w:val="128D0DE7"/>
    <w:rsid w:val="12CD26C3"/>
    <w:rsid w:val="13696EEE"/>
    <w:rsid w:val="138E613C"/>
    <w:rsid w:val="13946192"/>
    <w:rsid w:val="14264FE0"/>
    <w:rsid w:val="14315EE8"/>
    <w:rsid w:val="14320700"/>
    <w:rsid w:val="145E12AE"/>
    <w:rsid w:val="145F04F1"/>
    <w:rsid w:val="152D330D"/>
    <w:rsid w:val="15377D43"/>
    <w:rsid w:val="15CA4E3A"/>
    <w:rsid w:val="163A4A44"/>
    <w:rsid w:val="16E864BB"/>
    <w:rsid w:val="173F405B"/>
    <w:rsid w:val="1760026E"/>
    <w:rsid w:val="17B56C30"/>
    <w:rsid w:val="185C6BB9"/>
    <w:rsid w:val="1898290A"/>
    <w:rsid w:val="18F0742E"/>
    <w:rsid w:val="1956341C"/>
    <w:rsid w:val="1985636E"/>
    <w:rsid w:val="19901057"/>
    <w:rsid w:val="19C2547C"/>
    <w:rsid w:val="19C65660"/>
    <w:rsid w:val="1A2C15D6"/>
    <w:rsid w:val="1A647704"/>
    <w:rsid w:val="1A6A7BF0"/>
    <w:rsid w:val="1BC41BF8"/>
    <w:rsid w:val="1C2F402F"/>
    <w:rsid w:val="1C6A2D9F"/>
    <w:rsid w:val="1C81628F"/>
    <w:rsid w:val="1CFC561C"/>
    <w:rsid w:val="1D025370"/>
    <w:rsid w:val="1D8E2E74"/>
    <w:rsid w:val="1DA65AB0"/>
    <w:rsid w:val="1E3A404B"/>
    <w:rsid w:val="2010345F"/>
    <w:rsid w:val="20654E12"/>
    <w:rsid w:val="20B51E56"/>
    <w:rsid w:val="20B978BC"/>
    <w:rsid w:val="223A3ABE"/>
    <w:rsid w:val="22481DCC"/>
    <w:rsid w:val="2268184F"/>
    <w:rsid w:val="22B066DB"/>
    <w:rsid w:val="23372E0B"/>
    <w:rsid w:val="237B3285"/>
    <w:rsid w:val="23861352"/>
    <w:rsid w:val="23EB3885"/>
    <w:rsid w:val="24A41174"/>
    <w:rsid w:val="24D663B4"/>
    <w:rsid w:val="24E91B7E"/>
    <w:rsid w:val="254F53A8"/>
    <w:rsid w:val="25823084"/>
    <w:rsid w:val="2626040F"/>
    <w:rsid w:val="26610446"/>
    <w:rsid w:val="267A5023"/>
    <w:rsid w:val="27955FA1"/>
    <w:rsid w:val="27C65B12"/>
    <w:rsid w:val="28F27AF1"/>
    <w:rsid w:val="2A2C4F9C"/>
    <w:rsid w:val="2A4F21BE"/>
    <w:rsid w:val="2A57398D"/>
    <w:rsid w:val="2AFA5772"/>
    <w:rsid w:val="2B4712FA"/>
    <w:rsid w:val="2B5E52B2"/>
    <w:rsid w:val="2C2C62B2"/>
    <w:rsid w:val="2C470656"/>
    <w:rsid w:val="2C9D4471"/>
    <w:rsid w:val="2D095047"/>
    <w:rsid w:val="2D7824C2"/>
    <w:rsid w:val="2E8B2FF6"/>
    <w:rsid w:val="2ED438AF"/>
    <w:rsid w:val="30517594"/>
    <w:rsid w:val="312E5562"/>
    <w:rsid w:val="315A7D8D"/>
    <w:rsid w:val="317C0152"/>
    <w:rsid w:val="31B50145"/>
    <w:rsid w:val="32604582"/>
    <w:rsid w:val="32771F81"/>
    <w:rsid w:val="32CC2D9E"/>
    <w:rsid w:val="32FD0903"/>
    <w:rsid w:val="33E12C06"/>
    <w:rsid w:val="33ED411A"/>
    <w:rsid w:val="34171FE8"/>
    <w:rsid w:val="347A61C9"/>
    <w:rsid w:val="34F729DE"/>
    <w:rsid w:val="35CF3C1F"/>
    <w:rsid w:val="391035D8"/>
    <w:rsid w:val="39626AAB"/>
    <w:rsid w:val="3A4F761D"/>
    <w:rsid w:val="3A674307"/>
    <w:rsid w:val="3B284AE5"/>
    <w:rsid w:val="3B9E6B68"/>
    <w:rsid w:val="3C1D07E1"/>
    <w:rsid w:val="3CB907C0"/>
    <w:rsid w:val="3D395D75"/>
    <w:rsid w:val="3D4923DB"/>
    <w:rsid w:val="3D4D7F29"/>
    <w:rsid w:val="3DF765D4"/>
    <w:rsid w:val="3E4147C7"/>
    <w:rsid w:val="3E770D28"/>
    <w:rsid w:val="3EBC039F"/>
    <w:rsid w:val="3ED26A6D"/>
    <w:rsid w:val="3F876DD0"/>
    <w:rsid w:val="3FE77557"/>
    <w:rsid w:val="400E6295"/>
    <w:rsid w:val="40160806"/>
    <w:rsid w:val="4029159C"/>
    <w:rsid w:val="406C44FD"/>
    <w:rsid w:val="40EE28B7"/>
    <w:rsid w:val="40F63A01"/>
    <w:rsid w:val="416223F4"/>
    <w:rsid w:val="438215B7"/>
    <w:rsid w:val="43C43392"/>
    <w:rsid w:val="44484CB9"/>
    <w:rsid w:val="446956E3"/>
    <w:rsid w:val="44C20148"/>
    <w:rsid w:val="45E81016"/>
    <w:rsid w:val="478C3491"/>
    <w:rsid w:val="48162B6A"/>
    <w:rsid w:val="493D7B73"/>
    <w:rsid w:val="49B577F7"/>
    <w:rsid w:val="4A4F6337"/>
    <w:rsid w:val="4ADC608C"/>
    <w:rsid w:val="4B9E6792"/>
    <w:rsid w:val="4BB209CD"/>
    <w:rsid w:val="4CDA04BD"/>
    <w:rsid w:val="4CE371E6"/>
    <w:rsid w:val="4DB22AF0"/>
    <w:rsid w:val="4E501831"/>
    <w:rsid w:val="4F2010DA"/>
    <w:rsid w:val="4FE315B8"/>
    <w:rsid w:val="4FED20E0"/>
    <w:rsid w:val="509044C2"/>
    <w:rsid w:val="50CF54ED"/>
    <w:rsid w:val="51533426"/>
    <w:rsid w:val="51797BC4"/>
    <w:rsid w:val="521F60FF"/>
    <w:rsid w:val="5223481B"/>
    <w:rsid w:val="529803F9"/>
    <w:rsid w:val="534B5033"/>
    <w:rsid w:val="538E7908"/>
    <w:rsid w:val="54256F3E"/>
    <w:rsid w:val="548B3D78"/>
    <w:rsid w:val="54E50FE7"/>
    <w:rsid w:val="55580143"/>
    <w:rsid w:val="55FB19E6"/>
    <w:rsid w:val="5634592A"/>
    <w:rsid w:val="57296CD4"/>
    <w:rsid w:val="57E76686"/>
    <w:rsid w:val="59BE30E9"/>
    <w:rsid w:val="59C2367C"/>
    <w:rsid w:val="5A7145CB"/>
    <w:rsid w:val="5A7426BA"/>
    <w:rsid w:val="5B011B86"/>
    <w:rsid w:val="5B021C3F"/>
    <w:rsid w:val="5B201B92"/>
    <w:rsid w:val="5B3773E8"/>
    <w:rsid w:val="5B48094A"/>
    <w:rsid w:val="5C7C6E7D"/>
    <w:rsid w:val="5CE374EA"/>
    <w:rsid w:val="5FA51EE1"/>
    <w:rsid w:val="5FDD7FF0"/>
    <w:rsid w:val="601F2715"/>
    <w:rsid w:val="60445B57"/>
    <w:rsid w:val="616859AA"/>
    <w:rsid w:val="62CE0246"/>
    <w:rsid w:val="62E6033F"/>
    <w:rsid w:val="64524727"/>
    <w:rsid w:val="64D15E6F"/>
    <w:rsid w:val="64D92588"/>
    <w:rsid w:val="650F370E"/>
    <w:rsid w:val="651F0A87"/>
    <w:rsid w:val="660C5DDC"/>
    <w:rsid w:val="668B024A"/>
    <w:rsid w:val="66A01778"/>
    <w:rsid w:val="66D02AF9"/>
    <w:rsid w:val="66DC2993"/>
    <w:rsid w:val="670C2AC8"/>
    <w:rsid w:val="67525B4A"/>
    <w:rsid w:val="6A026ACA"/>
    <w:rsid w:val="6AE62AEA"/>
    <w:rsid w:val="6B75736F"/>
    <w:rsid w:val="6B782C5A"/>
    <w:rsid w:val="6B7E350E"/>
    <w:rsid w:val="6CA1734F"/>
    <w:rsid w:val="6CB678A3"/>
    <w:rsid w:val="6ED63EA2"/>
    <w:rsid w:val="6F641FA2"/>
    <w:rsid w:val="710F2B4B"/>
    <w:rsid w:val="711B0E24"/>
    <w:rsid w:val="7338350B"/>
    <w:rsid w:val="733D115B"/>
    <w:rsid w:val="73A20B63"/>
    <w:rsid w:val="74050F03"/>
    <w:rsid w:val="743377E7"/>
    <w:rsid w:val="748B1250"/>
    <w:rsid w:val="74B75862"/>
    <w:rsid w:val="755037B4"/>
    <w:rsid w:val="75D16022"/>
    <w:rsid w:val="76571BB5"/>
    <w:rsid w:val="766A7A1C"/>
    <w:rsid w:val="76AA706E"/>
    <w:rsid w:val="76FA56DB"/>
    <w:rsid w:val="7735228D"/>
    <w:rsid w:val="776115F6"/>
    <w:rsid w:val="79434797"/>
    <w:rsid w:val="79766C9A"/>
    <w:rsid w:val="79F43475"/>
    <w:rsid w:val="7A2F2D9F"/>
    <w:rsid w:val="7A9B38D8"/>
    <w:rsid w:val="7AFB708C"/>
    <w:rsid w:val="7B906A74"/>
    <w:rsid w:val="7BB41F98"/>
    <w:rsid w:val="7BC20D09"/>
    <w:rsid w:val="7CEE207E"/>
    <w:rsid w:val="7CF60054"/>
    <w:rsid w:val="7D15495F"/>
    <w:rsid w:val="7D434128"/>
    <w:rsid w:val="7EFF1C2E"/>
    <w:rsid w:val="7F2E18CB"/>
    <w:rsid w:val="7F9A54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autoRedefine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apple-converted-space"/>
    <w:basedOn w:val="9"/>
    <w:autoRedefine/>
    <w:qFormat/>
    <w:uiPriority w:val="0"/>
  </w:style>
  <w:style w:type="character" w:customStyle="1" w:styleId="15">
    <w:name w:val="页码 New"/>
    <w:basedOn w:val="9"/>
    <w:autoRedefine/>
    <w:qFormat/>
    <w:uiPriority w:val="0"/>
    <w:rPr>
      <w:rFonts w:hint="default"/>
    </w:rPr>
  </w:style>
  <w:style w:type="paragraph" w:customStyle="1" w:styleId="16">
    <w:name w:val="正文 New"/>
    <w:autoRedefine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页眉 New"/>
    <w:basedOn w:val="16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hint="default"/>
      <w:kern w:val="2"/>
      <w:sz w:val="18"/>
    </w:rPr>
  </w:style>
  <w:style w:type="paragraph" w:customStyle="1" w:styleId="19">
    <w:name w:val="Normal Indent"/>
    <w:basedOn w:val="20"/>
    <w:autoRedefine/>
    <w:qFormat/>
    <w:uiPriority w:val="0"/>
    <w:pPr>
      <w:autoSpaceDE w:val="0"/>
      <w:autoSpaceDN w:val="0"/>
      <w:spacing w:line="360" w:lineRule="auto"/>
      <w:ind w:left="181" w:firstLine="420"/>
    </w:pPr>
    <w:rPr>
      <w:sz w:val="24"/>
    </w:rPr>
  </w:style>
  <w:style w:type="paragraph" w:customStyle="1" w:styleId="20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页脚 New"/>
    <w:basedOn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kern w:val="2"/>
      <w:sz w:val="18"/>
    </w:rPr>
  </w:style>
  <w:style w:type="paragraph" w:customStyle="1" w:styleId="22">
    <w:name w:val="页脚 New New"/>
    <w:basedOn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customStyle="1" w:styleId="23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619</Words>
  <Characters>625</Characters>
  <Lines>12</Lines>
  <Paragraphs>3</Paragraphs>
  <TotalTime>212</TotalTime>
  <ScaleCrop>false</ScaleCrop>
  <LinksUpToDate>false</LinksUpToDate>
  <CharactersWithSpaces>654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2020-09-08T05:05:00Z</dcterms:created>
  <dc:creator>Administrator</dc:creator>
  <cp:lastModifiedBy>安安</cp:lastModifiedBy>
  <cp:lastPrinted>2025-06-16T03:36:00Z</cp:lastPrinted>
  <dcterms:modified xsi:type="dcterms:W3CDTF">2025-10-27T00:42:22Z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02CF620B181F494F91D977A96F7A1703_13</vt:lpwstr>
  </property>
  <property fmtid="{D5CDD505-2E9C-101B-9397-08002B2CF9AE}" pid="4" name="KSOTemplateDocerSaveRecord">
    <vt:lpwstr>eyJoZGlkIjoiNWE0ZDliMjY5MTkwNWFiNDkwYmZkZjZlMjUwYmY4NWIiLCJ1c2VySWQiOiI1MjY4NzY1MzYifQ==</vt:lpwstr>
  </property>
</Properties>
</file>