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27A002">
      <w:pPr>
        <w:keepNext w:val="0"/>
        <w:keepLines w:val="0"/>
        <w:pageBreakBefore w:val="0"/>
        <w:kinsoku/>
        <w:wordWrap/>
        <w:overflowPunct/>
        <w:topLinePunct w:val="0"/>
        <w:bidi w:val="0"/>
        <w:snapToGrid/>
        <w:spacing w:line="600" w:lineRule="exact"/>
        <w:jc w:val="center"/>
        <w:textAlignment w:val="auto"/>
        <w:rPr>
          <w:rFonts w:hint="eastAsia" w:ascii="方正小标宋简体" w:hAnsi="方正小标宋简体" w:eastAsia="方正小标宋简体" w:cs="方正小标宋简体"/>
          <w:sz w:val="32"/>
          <w:szCs w:val="32"/>
          <w:lang w:eastAsia="zh-CN"/>
        </w:rPr>
      </w:pPr>
    </w:p>
    <w:p w14:paraId="6E9EF8EA">
      <w:pPr>
        <w:pStyle w:val="2"/>
        <w:keepNext w:val="0"/>
        <w:keepLines w:val="0"/>
        <w:pageBreakBefore w:val="0"/>
        <w:kinsoku/>
        <w:wordWrap/>
        <w:overflowPunct/>
        <w:topLinePunct w:val="0"/>
        <w:bidi w:val="0"/>
        <w:snapToGrid/>
        <w:spacing w:line="600" w:lineRule="exact"/>
        <w:textAlignment w:val="auto"/>
        <w:rPr>
          <w:rFonts w:hint="eastAsia" w:ascii="方正小标宋简体" w:hAnsi="方正小标宋简体" w:eastAsia="方正小标宋简体" w:cs="方正小标宋简体"/>
          <w:sz w:val="32"/>
          <w:szCs w:val="32"/>
          <w:lang w:eastAsia="zh-CN"/>
        </w:rPr>
      </w:pPr>
    </w:p>
    <w:p w14:paraId="62DAA20D">
      <w:pPr>
        <w:pStyle w:val="2"/>
        <w:keepNext w:val="0"/>
        <w:keepLines w:val="0"/>
        <w:pageBreakBefore w:val="0"/>
        <w:kinsoku/>
        <w:wordWrap/>
        <w:overflowPunct/>
        <w:topLinePunct w:val="0"/>
        <w:bidi w:val="0"/>
        <w:snapToGrid/>
        <w:spacing w:line="600" w:lineRule="exact"/>
        <w:textAlignment w:val="auto"/>
        <w:rPr>
          <w:rFonts w:hint="eastAsia" w:ascii="方正小标宋简体" w:hAnsi="方正小标宋简体" w:eastAsia="方正小标宋简体" w:cs="方正小标宋简体"/>
          <w:sz w:val="32"/>
          <w:szCs w:val="32"/>
          <w:lang w:eastAsia="zh-CN"/>
        </w:rPr>
      </w:pPr>
    </w:p>
    <w:p w14:paraId="3C0ACEE9">
      <w:pPr>
        <w:keepNext w:val="0"/>
        <w:keepLines w:val="0"/>
        <w:pageBreakBefore w:val="0"/>
        <w:widowControl w:val="0"/>
        <w:kinsoku/>
        <w:wordWrap/>
        <w:overflowPunct/>
        <w:topLinePunct w:val="0"/>
        <w:bidi w:val="0"/>
        <w:snapToGrid/>
        <w:spacing w:line="60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阳江市生态环境局行政处罚决定书</w:t>
      </w:r>
    </w:p>
    <w:p w14:paraId="416DB6B1">
      <w:pPr>
        <w:keepNext w:val="0"/>
        <w:keepLines w:val="0"/>
        <w:pageBreakBefore w:val="0"/>
        <w:widowControl w:val="0"/>
        <w:kinsoku/>
        <w:wordWrap/>
        <w:overflowPunct/>
        <w:topLinePunct w:val="0"/>
        <w:bidi w:val="0"/>
        <w:snapToGrid/>
        <w:spacing w:line="600" w:lineRule="exact"/>
        <w:ind w:firstLine="2560" w:firstLineChars="8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阳环春罚字〔2025〕</w:t>
      </w:r>
      <w:r>
        <w:rPr>
          <w:rFonts w:hint="eastAsia" w:ascii="Times New Roman" w:hAnsi="Times New Roman" w:eastAsia="仿宋_GB2312" w:cs="Times New Roman"/>
          <w:sz w:val="32"/>
          <w:szCs w:val="32"/>
          <w:lang w:val="en-US" w:eastAsia="zh-CN"/>
        </w:rPr>
        <w:t>75</w:t>
      </w:r>
      <w:r>
        <w:rPr>
          <w:rFonts w:hint="default" w:ascii="Times New Roman" w:hAnsi="Times New Roman" w:eastAsia="仿宋_GB2312" w:cs="Times New Roman"/>
          <w:sz w:val="32"/>
          <w:szCs w:val="32"/>
          <w:lang w:val="en-US" w:eastAsia="zh-CN"/>
        </w:rPr>
        <w:t>号</w:t>
      </w:r>
    </w:p>
    <w:p w14:paraId="2C17CA78">
      <w:pPr>
        <w:pStyle w:val="6"/>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cs="Times New Roman"/>
          <w:lang w:val="en-US" w:eastAsia="zh-CN"/>
        </w:rPr>
      </w:pPr>
    </w:p>
    <w:p w14:paraId="1B1C7625">
      <w:pPr>
        <w:pStyle w:val="6"/>
        <w:keepNext w:val="0"/>
        <w:keepLines w:val="0"/>
        <w:pageBreakBefore w:val="0"/>
        <w:kinsoku/>
        <w:wordWrap/>
        <w:overflowPunct/>
        <w:topLinePunct w:val="0"/>
        <w:bidi w:val="0"/>
        <w:snapToGrid/>
        <w:spacing w:line="56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阳春市富荣水产购销部：</w:t>
      </w:r>
    </w:p>
    <w:p w14:paraId="6CB02711">
      <w:pPr>
        <w:pStyle w:val="6"/>
        <w:keepNext w:val="0"/>
        <w:keepLines w:val="0"/>
        <w:pageBreakBefore w:val="0"/>
        <w:kinsoku/>
        <w:wordWrap/>
        <w:overflowPunct/>
        <w:topLinePunct w:val="0"/>
        <w:bidi w:val="0"/>
        <w:snapToGrid/>
        <w:spacing w:line="560" w:lineRule="exact"/>
        <w:textAlignment w:val="auto"/>
        <w:rPr>
          <w:rFonts w:hint="default" w:ascii="Times New Roman" w:hAnsi="Times New Roman" w:eastAsia="仿宋_GB2312" w:cs="Times New Roman"/>
          <w:kern w:val="0"/>
          <w:sz w:val="28"/>
          <w:szCs w:val="28"/>
          <w:u w:val="single"/>
          <w:lang w:eastAsia="zh-CN"/>
        </w:rPr>
      </w:pPr>
      <w:r>
        <w:rPr>
          <w:rFonts w:hint="default" w:ascii="Times New Roman" w:hAnsi="Times New Roman" w:eastAsia="仿宋_GB2312" w:cs="Times New Roman"/>
          <w:sz w:val="32"/>
          <w:szCs w:val="32"/>
          <w:u w:val="none" w:color="auto"/>
          <w:lang w:val="en-US" w:eastAsia="zh-CN"/>
        </w:rPr>
        <w:t>经营场所：</w:t>
      </w:r>
      <w:r>
        <w:rPr>
          <w:rFonts w:hint="default" w:ascii="Times New Roman" w:hAnsi="Times New Roman" w:eastAsia="仿宋_GB2312" w:cs="Times New Roman"/>
          <w:kern w:val="0"/>
          <w:sz w:val="32"/>
          <w:szCs w:val="32"/>
          <w:u w:val="none" w:color="auto"/>
        </w:rPr>
        <w:t>阳春市</w:t>
      </w:r>
      <w:r>
        <w:rPr>
          <w:rFonts w:hint="default" w:ascii="Times New Roman" w:hAnsi="Times New Roman" w:eastAsia="仿宋_GB2312" w:cs="Times New Roman"/>
          <w:kern w:val="0"/>
          <w:sz w:val="32"/>
          <w:szCs w:val="32"/>
          <w:u w:val="none" w:color="auto"/>
          <w:lang w:eastAsia="zh-CN"/>
        </w:rPr>
        <w:t>潭水镇塘尾村委会竹朗村甘子渡</w:t>
      </w:r>
    </w:p>
    <w:p w14:paraId="1DB3F0F8">
      <w:pPr>
        <w:pStyle w:val="6"/>
        <w:keepNext w:val="0"/>
        <w:keepLines w:val="0"/>
        <w:pageBreakBefore w:val="0"/>
        <w:kinsoku/>
        <w:wordWrap/>
        <w:overflowPunct/>
        <w:topLinePunct w:val="0"/>
        <w:bidi w:val="0"/>
        <w:snapToGrid/>
        <w:spacing w:line="560" w:lineRule="exact"/>
        <w:textAlignment w:val="auto"/>
        <w:rPr>
          <w:rFonts w:hint="default" w:ascii="Times New Roman" w:hAnsi="Times New Roman" w:eastAsia="仿宋_GB2312" w:cs="Times New Roman"/>
          <w:kern w:val="0"/>
          <w:sz w:val="32"/>
          <w:szCs w:val="32"/>
          <w:u w:val="none" w:color="auto"/>
          <w:lang w:val="en-US" w:eastAsia="zh-CN"/>
        </w:rPr>
      </w:pPr>
      <w:r>
        <w:rPr>
          <w:rFonts w:hint="default" w:ascii="Times New Roman" w:hAnsi="Times New Roman" w:eastAsia="仿宋_GB2312" w:cs="Times New Roman"/>
          <w:kern w:val="0"/>
          <w:sz w:val="32"/>
          <w:szCs w:val="32"/>
          <w:u w:val="none" w:color="auto"/>
          <w:lang w:eastAsia="zh-CN"/>
        </w:rPr>
        <w:t>统一社会信用代码：</w:t>
      </w:r>
      <w:r>
        <w:rPr>
          <w:rFonts w:hint="default" w:ascii="Times New Roman" w:hAnsi="Times New Roman" w:eastAsia="仿宋_GB2312" w:cs="Times New Roman"/>
          <w:kern w:val="0"/>
          <w:sz w:val="32"/>
          <w:szCs w:val="32"/>
          <w:u w:val="none" w:color="auto"/>
          <w:lang w:val="en-US" w:eastAsia="zh-CN"/>
        </w:rPr>
        <w:t>92441781MADBYERR7H</w:t>
      </w:r>
    </w:p>
    <w:p w14:paraId="7CFECF98">
      <w:pPr>
        <w:pStyle w:val="6"/>
        <w:keepNext w:val="0"/>
        <w:keepLines w:val="0"/>
        <w:pageBreakBefore w:val="0"/>
        <w:kinsoku/>
        <w:wordWrap/>
        <w:overflowPunct/>
        <w:topLinePunct w:val="0"/>
        <w:bidi w:val="0"/>
        <w:snapToGrid/>
        <w:spacing w:line="560" w:lineRule="exact"/>
        <w:textAlignment w:val="auto"/>
        <w:rPr>
          <w:rFonts w:hint="default" w:ascii="Times New Roman" w:hAnsi="Times New Roman" w:eastAsia="仿宋_GB2312" w:cs="Times New Roman"/>
          <w:kern w:val="0"/>
          <w:sz w:val="32"/>
          <w:szCs w:val="32"/>
          <w:u w:val="none" w:color="auto"/>
          <w:lang w:val="en-US" w:eastAsia="zh-CN"/>
        </w:rPr>
      </w:pPr>
      <w:r>
        <w:rPr>
          <w:rFonts w:hint="default" w:ascii="Times New Roman" w:hAnsi="Times New Roman" w:eastAsia="仿宋_GB2312" w:cs="Times New Roman"/>
          <w:kern w:val="0"/>
          <w:sz w:val="32"/>
          <w:szCs w:val="32"/>
          <w:u w:val="none" w:color="auto"/>
          <w:lang w:val="en-US" w:eastAsia="zh-CN"/>
        </w:rPr>
        <w:t>经营者：刘富</w:t>
      </w:r>
    </w:p>
    <w:p w14:paraId="77CA30F1">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0"/>
          <w:kern w:val="0"/>
          <w:sz w:val="32"/>
          <w:szCs w:val="32"/>
          <w:lang w:val="en-US" w:eastAsia="zh-CN"/>
        </w:rPr>
      </w:pPr>
      <w:r>
        <w:rPr>
          <w:rFonts w:hint="default" w:ascii="Times New Roman" w:hAnsi="Times New Roman" w:eastAsia="仿宋_GB2312" w:cs="Times New Roman"/>
          <w:spacing w:val="0"/>
          <w:kern w:val="0"/>
          <w:sz w:val="32"/>
          <w:szCs w:val="32"/>
          <w:lang w:val="en-US" w:eastAsia="zh-CN"/>
        </w:rPr>
        <w:t>身</w:t>
      </w:r>
      <w:r>
        <w:rPr>
          <w:rFonts w:hint="eastAsia" w:ascii="Times New Roman" w:hAnsi="Times New Roman" w:eastAsia="仿宋_GB2312" w:cs="Times New Roman"/>
          <w:spacing w:val="0"/>
          <w:kern w:val="0"/>
          <w:sz w:val="32"/>
          <w:szCs w:val="32"/>
          <w:lang w:val="en-US" w:eastAsia="zh-CN"/>
        </w:rPr>
        <w:t>份证</w:t>
      </w:r>
      <w:r>
        <w:rPr>
          <w:rFonts w:hint="default" w:ascii="Times New Roman" w:hAnsi="Times New Roman" w:eastAsia="仿宋_GB2312" w:cs="Times New Roman"/>
          <w:spacing w:val="0"/>
          <w:kern w:val="0"/>
          <w:sz w:val="32"/>
          <w:szCs w:val="32"/>
          <w:lang w:val="en-US" w:eastAsia="zh-CN"/>
        </w:rPr>
        <w:t>号码：</w:t>
      </w:r>
      <w:r>
        <w:rPr>
          <w:rFonts w:hint="default" w:ascii="Times New Roman" w:hAnsi="Times New Roman" w:eastAsia="仿宋_GB2312" w:cs="Times New Roman"/>
          <w:sz w:val="32"/>
          <w:szCs w:val="32"/>
          <w:lang w:val="en-US" w:eastAsia="zh-CN"/>
        </w:rPr>
        <w:t>441</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19</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45</w:t>
      </w:r>
      <w:r>
        <w:rPr>
          <w:rFonts w:hint="eastAsia" w:ascii="Times New Roman" w:hAnsi="Times New Roman" w:eastAsia="仿宋_GB2312" w:cs="Times New Roman"/>
          <w:sz w:val="32"/>
          <w:szCs w:val="32"/>
          <w:lang w:val="en-US" w:eastAsia="zh-CN"/>
        </w:rPr>
        <w:t>**</w:t>
      </w:r>
    </w:p>
    <w:p w14:paraId="6D571225">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pacing w:val="0"/>
          <w:kern w:val="0"/>
          <w:sz w:val="32"/>
          <w:szCs w:val="32"/>
          <w:lang w:val="en-US" w:eastAsia="zh-CN"/>
        </w:rPr>
        <w:t>住址：</w:t>
      </w:r>
      <w:r>
        <w:rPr>
          <w:rFonts w:hint="eastAsia" w:ascii="Times New Roman" w:hAnsi="Times New Roman" w:eastAsia="仿宋_GB2312" w:cs="Times New Roman"/>
          <w:spacing w:val="0"/>
          <w:kern w:val="0"/>
          <w:sz w:val="32"/>
          <w:szCs w:val="32"/>
          <w:lang w:val="en-US" w:eastAsia="zh-CN"/>
        </w:rPr>
        <w:t>广东省</w:t>
      </w:r>
      <w:r>
        <w:rPr>
          <w:rFonts w:hint="default" w:ascii="Times New Roman" w:hAnsi="Times New Roman" w:eastAsia="仿宋_GB2312" w:cs="Times New Roman"/>
          <w:spacing w:val="0"/>
          <w:kern w:val="0"/>
          <w:sz w:val="32"/>
          <w:szCs w:val="32"/>
          <w:lang w:val="en-US" w:eastAsia="zh-CN"/>
        </w:rPr>
        <w:t>阳春市</w:t>
      </w:r>
      <w:r>
        <w:rPr>
          <w:rFonts w:hint="eastAsia" w:ascii="Times New Roman" w:hAnsi="Times New Roman" w:eastAsia="仿宋_GB2312" w:cs="Times New Roman"/>
          <w:spacing w:val="0"/>
          <w:kern w:val="0"/>
          <w:sz w:val="32"/>
          <w:szCs w:val="32"/>
          <w:lang w:val="en-US" w:eastAsia="zh-CN"/>
        </w:rPr>
        <w:t>**</w:t>
      </w:r>
      <w:r>
        <w:rPr>
          <w:rFonts w:hint="default" w:ascii="Times New Roman" w:hAnsi="Times New Roman" w:eastAsia="仿宋_GB2312" w:cs="Times New Roman"/>
          <w:spacing w:val="0"/>
          <w:kern w:val="0"/>
          <w:sz w:val="32"/>
          <w:szCs w:val="32"/>
          <w:lang w:val="en-US" w:eastAsia="zh-CN"/>
        </w:rPr>
        <w:t>镇</w:t>
      </w:r>
      <w:r>
        <w:rPr>
          <w:rFonts w:hint="eastAsia" w:ascii="Times New Roman" w:hAnsi="Times New Roman" w:eastAsia="仿宋_GB2312" w:cs="Times New Roman"/>
          <w:spacing w:val="0"/>
          <w:kern w:val="0"/>
          <w:sz w:val="32"/>
          <w:szCs w:val="32"/>
          <w:lang w:val="en-US" w:eastAsia="zh-CN"/>
        </w:rPr>
        <w:t>***</w:t>
      </w:r>
      <w:bookmarkStart w:id="0" w:name="_GoBack"/>
      <w:bookmarkEnd w:id="0"/>
    </w:p>
    <w:p w14:paraId="76880E3A">
      <w:pPr>
        <w:pStyle w:val="2"/>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default" w:ascii="Times New Roman" w:hAnsi="Times New Roman" w:cs="Times New Roman"/>
          <w:b/>
          <w:bCs/>
          <w:lang w:eastAsia="zh-CN"/>
        </w:rPr>
      </w:pPr>
      <w:r>
        <w:rPr>
          <w:rFonts w:hint="default" w:ascii="Times New Roman" w:hAnsi="Times New Roman" w:eastAsia="微软雅黑" w:cs="Times New Roman"/>
          <w:b w:val="0"/>
          <w:bCs w:val="0"/>
          <w:sz w:val="32"/>
          <w:szCs w:val="32"/>
          <w:lang w:eastAsia="zh-CN"/>
        </w:rPr>
        <w:t>一、调查情况及发现环境违法事实、证据和陈述申辩及采纳情况</w:t>
      </w:r>
    </w:p>
    <w:p w14:paraId="5DFF99F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kern w:val="0"/>
          <w:sz w:val="32"/>
          <w:szCs w:val="32"/>
          <w:lang w:val="en-US" w:eastAsia="zh-CN"/>
        </w:rPr>
      </w:pPr>
      <w:r>
        <w:rPr>
          <w:rFonts w:hint="default" w:ascii="Times New Roman" w:hAnsi="Times New Roman" w:eastAsia="仿宋_GB2312" w:cs="Times New Roman"/>
          <w:sz w:val="32"/>
          <w:szCs w:val="32"/>
          <w:lang w:val="en-US" w:eastAsia="zh-CN"/>
        </w:rPr>
        <w:t>2025年6月25日、7月8日、7月28日和9月28日，</w:t>
      </w:r>
      <w:r>
        <w:rPr>
          <w:rFonts w:hint="default" w:ascii="Times New Roman" w:hAnsi="Times New Roman" w:eastAsia="仿宋_GB2312" w:cs="Times New Roman"/>
          <w:spacing w:val="0"/>
          <w:kern w:val="0"/>
          <w:sz w:val="32"/>
          <w:szCs w:val="32"/>
          <w:lang w:val="en-US" w:eastAsia="zh-CN"/>
        </w:rPr>
        <w:t>我局执法人员对你单位进行了现场检查，</w:t>
      </w:r>
      <w:r>
        <w:rPr>
          <w:rFonts w:hint="default" w:ascii="Times New Roman" w:hAnsi="Times New Roman" w:eastAsia="仿宋_GB2312" w:cs="Times New Roman"/>
          <w:sz w:val="32"/>
          <w:szCs w:val="32"/>
          <w:lang w:val="en-US" w:eastAsia="zh-CN"/>
        </w:rPr>
        <w:t>发现你单位实施了以下环境违法行为：</w:t>
      </w:r>
    </w:p>
    <w:p w14:paraId="650FDCC6">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pacing w:val="0"/>
          <w:kern w:val="0"/>
          <w:sz w:val="32"/>
          <w:szCs w:val="32"/>
          <w:lang w:val="en-US" w:eastAsia="zh-CN"/>
        </w:rPr>
      </w:pPr>
      <w:r>
        <w:rPr>
          <w:rFonts w:hint="default" w:ascii="Times New Roman" w:hAnsi="Times New Roman" w:eastAsia="仿宋_GB2312" w:cs="Times New Roman"/>
          <w:spacing w:val="0"/>
          <w:kern w:val="0"/>
          <w:sz w:val="32"/>
          <w:szCs w:val="32"/>
          <w:lang w:val="en-US" w:eastAsia="zh-CN"/>
        </w:rPr>
        <w:t>你单位在</w:t>
      </w:r>
      <w:r>
        <w:rPr>
          <w:rFonts w:hint="default" w:ascii="Times New Roman" w:hAnsi="Times New Roman" w:eastAsia="仿宋_GB2312" w:cs="Times New Roman"/>
          <w:kern w:val="0"/>
          <w:sz w:val="32"/>
          <w:szCs w:val="32"/>
          <w:u w:val="none" w:color="auto"/>
        </w:rPr>
        <w:t>阳春市</w:t>
      </w:r>
      <w:r>
        <w:rPr>
          <w:rFonts w:hint="default" w:ascii="Times New Roman" w:hAnsi="Times New Roman" w:eastAsia="仿宋_GB2312" w:cs="Times New Roman"/>
          <w:kern w:val="0"/>
          <w:sz w:val="32"/>
          <w:szCs w:val="32"/>
          <w:u w:val="none" w:color="auto"/>
          <w:lang w:eastAsia="zh-CN"/>
        </w:rPr>
        <w:t>潭水镇塘尾村委会竹朗村甘子渡从事鱼苗孵化项目，该项目于</w:t>
      </w:r>
      <w:r>
        <w:rPr>
          <w:rFonts w:hint="default" w:ascii="Times New Roman" w:hAnsi="Times New Roman" w:eastAsia="仿宋_GB2312" w:cs="Times New Roman"/>
          <w:kern w:val="0"/>
          <w:sz w:val="32"/>
          <w:szCs w:val="32"/>
          <w:u w:val="none" w:color="auto"/>
          <w:lang w:val="en-US" w:eastAsia="zh-CN"/>
        </w:rPr>
        <w:t>2021年已建设并投产。经核实，你单位的建设项目</w:t>
      </w:r>
      <w:r>
        <w:rPr>
          <w:rFonts w:hint="default" w:ascii="Times New Roman" w:hAnsi="Times New Roman" w:eastAsia="仿宋_GB2312" w:cs="Times New Roman"/>
          <w:sz w:val="32"/>
          <w:szCs w:val="32"/>
          <w:u w:val="none" w:color="auto"/>
          <w:lang w:eastAsia="zh-CN"/>
        </w:rPr>
        <w:t>位于《广东省人民政府关于印发部分市乡镇集中式饮用水源保护区划分方案的通知》（粤府函</w:t>
      </w:r>
      <w:r>
        <w:rPr>
          <w:rFonts w:hint="default" w:ascii="Times New Roman" w:hAnsi="Times New Roman" w:eastAsia="仿宋_GB2312" w:cs="Times New Roman"/>
          <w:sz w:val="32"/>
          <w:szCs w:val="32"/>
          <w:u w:val="none" w:color="auto"/>
        </w:rPr>
        <w:t>〔2025〕</w:t>
      </w:r>
      <w:r>
        <w:rPr>
          <w:rFonts w:hint="default" w:ascii="Times New Roman" w:hAnsi="Times New Roman" w:eastAsia="仿宋_GB2312" w:cs="Times New Roman"/>
          <w:sz w:val="32"/>
          <w:szCs w:val="32"/>
          <w:u w:val="none" w:color="auto"/>
          <w:lang w:val="en-US" w:eastAsia="zh-CN"/>
        </w:rPr>
        <w:t>17</w:t>
      </w:r>
      <w:r>
        <w:rPr>
          <w:rFonts w:hint="default" w:ascii="Times New Roman" w:hAnsi="Times New Roman" w:eastAsia="仿宋_GB2312" w:cs="Times New Roman"/>
          <w:sz w:val="32"/>
          <w:szCs w:val="32"/>
          <w:u w:val="none" w:color="auto"/>
        </w:rPr>
        <w:t>号</w:t>
      </w:r>
      <w:r>
        <w:rPr>
          <w:rFonts w:hint="default" w:ascii="Times New Roman" w:hAnsi="Times New Roman" w:eastAsia="仿宋_GB2312" w:cs="Times New Roman"/>
          <w:sz w:val="32"/>
          <w:szCs w:val="32"/>
          <w:u w:val="none" w:color="auto"/>
          <w:lang w:eastAsia="zh-CN"/>
        </w:rPr>
        <w:t>）划定的阳江市阳春市潭水镇潭水河河堤饮用水源保护区一级保护区内。</w:t>
      </w:r>
      <w:r>
        <w:rPr>
          <w:rFonts w:hint="default" w:ascii="Times New Roman" w:hAnsi="Times New Roman" w:eastAsia="仿宋_GB2312" w:cs="Times New Roman"/>
          <w:sz w:val="32"/>
          <w:szCs w:val="32"/>
          <w:u w:val="none" w:color="auto"/>
          <w:lang w:val="en-US" w:eastAsia="zh-CN"/>
        </w:rPr>
        <w:t>2025年9月1日，我局向你单位送达《责令改正违法行为决定书》</w:t>
      </w:r>
      <w:r>
        <w:rPr>
          <w:rFonts w:hint="default" w:ascii="Times New Roman" w:hAnsi="Times New Roman" w:eastAsia="仿宋_GB2312" w:cs="Times New Roman"/>
          <w:sz w:val="32"/>
          <w:szCs w:val="32"/>
          <w:lang w:val="en-US" w:eastAsia="zh-CN"/>
        </w:rPr>
        <w:t>（阳环春责改字〔2025〕80号)，责令你单位在15天内改正违法行为。经复核，你单位未拆除或关闭项目，未改正环境违法行为。</w:t>
      </w:r>
    </w:p>
    <w:p w14:paraId="6494016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pacing w:val="0"/>
          <w:kern w:val="0"/>
          <w:sz w:val="32"/>
          <w:szCs w:val="32"/>
          <w:lang w:val="en-US" w:eastAsia="zh-CN"/>
        </w:rPr>
        <w:t>经核实，你单位存在</w:t>
      </w:r>
      <w:r>
        <w:rPr>
          <w:rFonts w:hint="default" w:ascii="Times New Roman" w:hAnsi="Times New Roman" w:eastAsia="仿宋_GB2312" w:cs="Times New Roman"/>
          <w:sz w:val="32"/>
          <w:szCs w:val="32"/>
          <w:u w:val="none" w:color="auto"/>
        </w:rPr>
        <w:t>在饮用一级水源保护区内新建与供水设施和保护水源无关的建设项目</w:t>
      </w:r>
      <w:r>
        <w:rPr>
          <w:rFonts w:hint="default" w:ascii="Times New Roman" w:hAnsi="Times New Roman" w:eastAsia="仿宋_GB2312" w:cs="Times New Roman"/>
          <w:sz w:val="32"/>
          <w:szCs w:val="32"/>
          <w:lang w:val="en-US" w:eastAsia="zh-CN"/>
        </w:rPr>
        <w:t>的生态环境违法行为。</w:t>
      </w:r>
    </w:p>
    <w:p w14:paraId="13B20DDE">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以上事实，有下列证据为证：1、执法人员2025年6月25日、7月8日、7月28日和9月28日制作的《现场检查笔录》、《询问笔录》及现场检查图片和录像；2、你单位营业执照复印件与经营者身份证复印件；3、《责令改正违法行为决定书》（阳环春责改字〔2025〕80号）及送达回证；4、《</w:t>
      </w:r>
      <w:r>
        <w:rPr>
          <w:rFonts w:hint="eastAsia" w:ascii="Times New Roman" w:hAnsi="Times New Roman" w:eastAsia="仿宋_GB2312" w:cs="Times New Roman"/>
          <w:sz w:val="32"/>
          <w:szCs w:val="32"/>
          <w:lang w:val="en-US" w:eastAsia="zh-CN"/>
        </w:rPr>
        <w:t>阳江市生态环境局调查询问通知书</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（阳环调询通</w:t>
      </w:r>
      <w:r>
        <w:rPr>
          <w:rFonts w:hint="default" w:ascii="Times New Roman" w:hAnsi="Times New Roman" w:eastAsia="仿宋_GB2312" w:cs="Times New Roman"/>
          <w:sz w:val="32"/>
          <w:szCs w:val="32"/>
          <w:lang w:val="en-US" w:eastAsia="zh-CN"/>
        </w:rPr>
        <w:t>〔2025〕</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号</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5、你单位提供的《广东省设施农业用地协议》；6、你单位提供的用电情况；7、《固定污染源排污登记表》及回执（登记编号：92441781MADBYERR7H001X）；8、《广东省人民政府关于印发部分市乡镇集中式饮用水源保护区划分方案的通知》（粤府函〔2015〕17号）；9、你单位定位坐标位于饮用水水源保护区的矢量图；10、《</w:t>
      </w:r>
      <w:r>
        <w:rPr>
          <w:rFonts w:hint="default" w:ascii="Times New Roman" w:hAnsi="Times New Roman" w:eastAsia="仿宋_GB2312" w:cs="Times New Roman"/>
          <w:sz w:val="32"/>
          <w:szCs w:val="32"/>
          <w:lang w:eastAsia="zh-CN"/>
        </w:rPr>
        <w:t>行政处罚事先（听证）告知书》（</w:t>
      </w:r>
      <w:r>
        <w:rPr>
          <w:rFonts w:hint="default" w:ascii="Times New Roman" w:hAnsi="Times New Roman" w:eastAsia="仿宋_GB2312" w:cs="Times New Roman"/>
          <w:sz w:val="32"/>
          <w:szCs w:val="32"/>
        </w:rPr>
        <w:t>阳环</w:t>
      </w:r>
      <w:r>
        <w:rPr>
          <w:rFonts w:hint="default" w:ascii="Times New Roman" w:hAnsi="Times New Roman" w:eastAsia="仿宋_GB2312" w:cs="Times New Roman"/>
          <w:sz w:val="32"/>
          <w:szCs w:val="32"/>
          <w:lang w:val="en-US" w:eastAsia="zh-CN"/>
        </w:rPr>
        <w:t>春罚</w:t>
      </w:r>
      <w:r>
        <w:rPr>
          <w:rFonts w:hint="default" w:ascii="Times New Roman" w:hAnsi="Times New Roman" w:eastAsia="仿宋_GB2312" w:cs="Times New Roman"/>
          <w:sz w:val="32"/>
          <w:szCs w:val="32"/>
        </w:rPr>
        <w:t>告字〔20</w:t>
      </w:r>
      <w:r>
        <w:rPr>
          <w:rFonts w:hint="default"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77</w:t>
      </w:r>
      <w:r>
        <w:rPr>
          <w:rFonts w:hint="default" w:ascii="Times New Roman" w:hAnsi="Times New Roman" w:eastAsia="仿宋_GB2312" w:cs="Times New Roman"/>
          <w:sz w:val="32"/>
          <w:szCs w:val="32"/>
        </w:rPr>
        <w:t>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11、《驳回行政复议申请决定书》（阳府行复〔20</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5〕142号）。</w:t>
      </w:r>
    </w:p>
    <w:p w14:paraId="41D2EF4C">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kern w:val="0"/>
          <w:sz w:val="32"/>
          <w:szCs w:val="32"/>
        </w:rPr>
        <w:t>你</w:t>
      </w:r>
      <w:r>
        <w:rPr>
          <w:rFonts w:hint="default" w:ascii="Times New Roman" w:hAnsi="Times New Roman" w:eastAsia="仿宋_GB2312" w:cs="Times New Roman"/>
          <w:kern w:val="0"/>
          <w:sz w:val="32"/>
          <w:szCs w:val="32"/>
          <w:lang w:eastAsia="zh-CN"/>
        </w:rPr>
        <w:t>单位的</w:t>
      </w:r>
      <w:r>
        <w:rPr>
          <w:rFonts w:hint="default" w:ascii="Times New Roman" w:hAnsi="Times New Roman" w:eastAsia="仿宋_GB2312" w:cs="Times New Roman"/>
          <w:kern w:val="0"/>
          <w:sz w:val="32"/>
          <w:szCs w:val="32"/>
        </w:rPr>
        <w:t>上述行为违反了《中华人民共和国水污染防治法》第</w:t>
      </w:r>
      <w:r>
        <w:rPr>
          <w:rFonts w:hint="default" w:ascii="Times New Roman" w:hAnsi="Times New Roman" w:eastAsia="仿宋_GB2312" w:cs="Times New Roman"/>
          <w:kern w:val="0"/>
          <w:sz w:val="32"/>
          <w:szCs w:val="32"/>
          <w:lang w:eastAsia="zh-CN"/>
        </w:rPr>
        <w:t>六十五</w:t>
      </w:r>
      <w:r>
        <w:rPr>
          <w:rFonts w:hint="default" w:ascii="Times New Roman" w:hAnsi="Times New Roman" w:eastAsia="仿宋_GB2312" w:cs="Times New Roman"/>
          <w:kern w:val="0"/>
          <w:sz w:val="32"/>
          <w:szCs w:val="32"/>
        </w:rPr>
        <w:t>条</w:t>
      </w:r>
      <w:r>
        <w:rPr>
          <w:rFonts w:hint="default" w:ascii="Times New Roman" w:hAnsi="Times New Roman" w:eastAsia="仿宋_GB2312" w:cs="Times New Roman"/>
          <w:kern w:val="0"/>
          <w:sz w:val="32"/>
          <w:szCs w:val="32"/>
          <w:lang w:eastAsia="zh-CN"/>
        </w:rPr>
        <w:t>第一款</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b w:val="0"/>
          <w:i w:val="0"/>
          <w:snapToGrid/>
          <w:color w:val="auto"/>
          <w:sz w:val="32"/>
          <w:szCs w:val="32"/>
          <w:shd w:val="clear" w:color="auto" w:fill="FFFFFF"/>
          <w:lang w:eastAsia="zh-CN"/>
        </w:rPr>
        <w:t>禁止在饮用水水源一级保护区内新建、改建、扩建与供水设施和保护水源无关的建设项目；已建成的与供水设施和保护水源无关的建设项目，由县级以上人民政府责令拆除或者关闭</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val="en-US" w:eastAsia="zh-CN"/>
        </w:rPr>
        <w:t>的规定</w:t>
      </w:r>
      <w:r>
        <w:rPr>
          <w:rFonts w:hint="default" w:ascii="Times New Roman" w:hAnsi="Times New Roman" w:eastAsia="仿宋_GB2312" w:cs="Times New Roman"/>
          <w:kern w:val="0"/>
          <w:sz w:val="32"/>
          <w:szCs w:val="32"/>
          <w:lang w:eastAsia="zh-CN"/>
        </w:rPr>
        <w:t>。</w:t>
      </w:r>
    </w:p>
    <w:p w14:paraId="044BE975">
      <w:pPr>
        <w:pStyle w:val="2"/>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我局于2025年10月12日向你单位送达《行政处罚事先（听证）告知书》（阳环春罚告字〔2025〕77号），告知你单位违法事实、处罚依据和拟作出的行政处罚决定，并告知你单位依法享有提出陈述申辩和要求举行听证的权利。你单位在法定期限内未提出陈述申辩和听证申请，视为放弃陈述申辩和听证的权利。</w:t>
      </w:r>
    </w:p>
    <w:p w14:paraId="49A5C45C">
      <w:pPr>
        <w:pStyle w:val="2"/>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auto"/>
        <w:outlineLvl w:val="9"/>
        <w:rPr>
          <w:rFonts w:hint="default" w:ascii="Times New Roman" w:hAnsi="Times New Roman" w:eastAsia="仿宋_GB2312" w:cs="Times New Roman"/>
          <w:kern w:val="0"/>
          <w:sz w:val="32"/>
          <w:szCs w:val="32"/>
          <w:u w:val="none"/>
          <w:lang w:val="en-US" w:eastAsia="zh-CN"/>
        </w:rPr>
      </w:pPr>
      <w:r>
        <w:rPr>
          <w:rFonts w:hint="default" w:ascii="Times New Roman" w:hAnsi="Times New Roman" w:eastAsia="仿宋_GB2312" w:cs="Times New Roman"/>
          <w:kern w:val="0"/>
          <w:sz w:val="32"/>
          <w:szCs w:val="32"/>
          <w:u w:val="none"/>
          <w:lang w:val="en-US" w:eastAsia="zh-CN"/>
        </w:rPr>
        <w:t>现本案已审查终结。</w:t>
      </w:r>
    </w:p>
    <w:p w14:paraId="0EE99AA2">
      <w:pPr>
        <w:pStyle w:val="2"/>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kern w:val="0"/>
          <w:sz w:val="32"/>
          <w:szCs w:val="32"/>
          <w:u w:val="none"/>
          <w:lang w:val="en-US" w:eastAsia="zh-CN"/>
        </w:rPr>
      </w:pPr>
      <w:r>
        <w:rPr>
          <w:rFonts w:hint="default" w:ascii="Times New Roman" w:hAnsi="Times New Roman" w:eastAsia="微软雅黑" w:cs="Times New Roman"/>
          <w:b w:val="0"/>
          <w:bCs w:val="0"/>
          <w:kern w:val="0"/>
          <w:sz w:val="32"/>
          <w:szCs w:val="32"/>
          <w:highlight w:val="none"/>
          <w:u w:val="none"/>
          <w:lang w:val="en-US" w:eastAsia="zh-CN"/>
        </w:rPr>
        <w:t>二、行政处罚的依据、种类以及履行方式和期限</w:t>
      </w:r>
    </w:p>
    <w:p w14:paraId="321AE03A">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kern w:val="0"/>
          <w:sz w:val="32"/>
          <w:szCs w:val="32"/>
          <w:lang w:eastAsia="zh-CN"/>
        </w:rPr>
        <w:t>依据《中华人民共和国水污染防治法》第九十一条第一款“</w:t>
      </w:r>
      <w:r>
        <w:rPr>
          <w:rFonts w:hint="default" w:ascii="Times New Roman" w:hAnsi="Times New Roman" w:eastAsia="仿宋_GB2312" w:cs="Times New Roman"/>
          <w:b w:val="0"/>
          <w:i w:val="0"/>
          <w:snapToGrid/>
          <w:color w:val="auto"/>
          <w:sz w:val="32"/>
          <w:szCs w:val="32"/>
          <w:shd w:val="clear" w:color="auto" w:fill="FFFFFF"/>
          <w:lang w:eastAsia="zh-CN"/>
        </w:rPr>
        <w:t>有下列行为之一的，由县级以上地方人民政府环境保护主管部门责令停止违法行为，处十万元以上五十万元以下的罚款；并报经有批准权的人民政府批准，责令拆除或者关闭：（一）在饮用水水源一级保护区内新建、改建、扩建与供水设施和保护水源无关的建设项目的</w:t>
      </w:r>
      <w:r>
        <w:rPr>
          <w:rFonts w:hint="default" w:ascii="Times New Roman" w:hAnsi="Times New Roman" w:eastAsia="仿宋_GB2312" w:cs="Times New Roman"/>
          <w:kern w:val="0"/>
          <w:sz w:val="32"/>
          <w:szCs w:val="32"/>
          <w:lang w:eastAsia="zh-CN"/>
        </w:rPr>
        <w:t>”的规定</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val="en-US" w:eastAsia="zh-CN"/>
        </w:rPr>
        <w:t>按</w:t>
      </w:r>
      <w:r>
        <w:rPr>
          <w:rFonts w:hint="default" w:ascii="Times New Roman" w:hAnsi="Times New Roman" w:eastAsia="仿宋_GB2312" w:cs="Times New Roman"/>
          <w:kern w:val="0"/>
          <w:sz w:val="32"/>
          <w:szCs w:val="32"/>
        </w:rPr>
        <w:t>照</w:t>
      </w:r>
      <w:r>
        <w:rPr>
          <w:rFonts w:hint="default" w:ascii="Times New Roman" w:hAnsi="Times New Roman" w:eastAsia="仿宋_GB2312" w:cs="Times New Roman"/>
          <w:kern w:val="0"/>
          <w:sz w:val="32"/>
          <w:szCs w:val="32"/>
          <w:lang w:val="en-US" w:eastAsia="zh-CN"/>
        </w:rPr>
        <w:t>《广东省生态环境行政处罚自由裁量权规定》中附件1-广东省生态环境违法行为行政处罚罚款金额裁量表第二章第二十一条§2.21裁量标准：区域类型为“饮用水水源一级保护区”，整改情况为“逾期未停止违法行为”，罚款“40万元以上50万元以下”的规定</w:t>
      </w:r>
      <w:r>
        <w:rPr>
          <w:rFonts w:hint="default" w:ascii="Times New Roman" w:hAnsi="Times New Roman" w:eastAsia="仿宋_GB2312" w:cs="Times New Roman"/>
          <w:sz w:val="32"/>
          <w:szCs w:val="32"/>
          <w:lang w:val="en-US" w:eastAsia="zh-CN"/>
        </w:rPr>
        <w:t>，我局决定对你单位作出如下行政处罚：</w:t>
      </w:r>
    </w:p>
    <w:p w14:paraId="5C198871">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43" w:firstLineChars="200"/>
        <w:jc w:val="both"/>
        <w:textAlignment w:val="auto"/>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罚款肆拾伍万元整（¥450000.00）；</w:t>
      </w:r>
    </w:p>
    <w:p w14:paraId="52DD8AC8">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kern w:val="0"/>
          <w:sz w:val="32"/>
          <w:szCs w:val="32"/>
          <w:u w:val="none"/>
          <w:lang w:val="en-US" w:eastAsia="zh-CN"/>
        </w:rPr>
      </w:pPr>
      <w:r>
        <w:rPr>
          <w:rFonts w:hint="default" w:ascii="Times New Roman" w:hAnsi="Times New Roman" w:eastAsia="仿宋_GB2312" w:cs="Times New Roman"/>
          <w:kern w:val="0"/>
          <w:sz w:val="32"/>
          <w:szCs w:val="32"/>
          <w:u w:val="none"/>
          <w:lang w:val="en-US" w:eastAsia="zh-CN"/>
        </w:rPr>
        <w:t>根据《行政处罚法》和《罚款决定与罚款收缴分离实施办法》的规定，你单位应于接到本处罚决定书之日起15日内，到阳江市生态环境局阳春分局开具《广东省非税收入一般缴款书（电子）》，根据缴款书的要求将罚款缴至指定银行和账号。你单位缴纳罚款后可自行下载保存财政电子票据凭证，并应将缴纳情况告知我局。逾期不缴纳罚款的，我局可以根据《中华人民共和国行政处罚法》第七十二条第一款第（一）项的规定，每日按罚款数额的3%加处罚款，加处罚款的数额不超过罚款的数额。</w:t>
      </w:r>
    </w:p>
    <w:p w14:paraId="2CFD7C57">
      <w:pPr>
        <w:pStyle w:val="2"/>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kern w:val="0"/>
          <w:sz w:val="32"/>
          <w:szCs w:val="32"/>
          <w:u w:val="none"/>
          <w:lang w:val="en-US" w:eastAsia="zh-CN"/>
        </w:rPr>
      </w:pPr>
      <w:r>
        <w:rPr>
          <w:rFonts w:hint="default" w:ascii="Times New Roman" w:hAnsi="Times New Roman" w:eastAsia="仿宋_GB2312" w:cs="Times New Roman"/>
          <w:kern w:val="0"/>
          <w:sz w:val="32"/>
          <w:szCs w:val="32"/>
          <w:u w:val="none"/>
          <w:lang w:val="en-US" w:eastAsia="zh-CN"/>
        </w:rPr>
        <w:t>收款银行：中国建设银行阳江市分行</w:t>
      </w:r>
    </w:p>
    <w:p w14:paraId="3E3CC790">
      <w:pPr>
        <w:pStyle w:val="2"/>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kern w:val="0"/>
          <w:sz w:val="32"/>
          <w:szCs w:val="32"/>
          <w:u w:val="none"/>
          <w:lang w:val="en-US" w:eastAsia="zh-CN"/>
        </w:rPr>
      </w:pPr>
      <w:r>
        <w:rPr>
          <w:rFonts w:hint="default" w:ascii="Times New Roman" w:hAnsi="Times New Roman" w:eastAsia="仿宋_GB2312" w:cs="Times New Roman"/>
          <w:kern w:val="0"/>
          <w:sz w:val="32"/>
          <w:szCs w:val="32"/>
          <w:u w:val="none"/>
          <w:lang w:val="en-US" w:eastAsia="zh-CN"/>
        </w:rPr>
        <w:t>账户名称：待报解预算收入内转户</w:t>
      </w:r>
    </w:p>
    <w:p w14:paraId="429BD1F8">
      <w:pPr>
        <w:pStyle w:val="2"/>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kern w:val="0"/>
          <w:sz w:val="32"/>
          <w:szCs w:val="32"/>
          <w:u w:val="none"/>
          <w:lang w:val="en-US" w:eastAsia="zh-CN"/>
        </w:rPr>
      </w:pPr>
      <w:r>
        <w:rPr>
          <w:rFonts w:hint="default" w:ascii="Times New Roman" w:hAnsi="Times New Roman" w:eastAsia="仿宋_GB2312" w:cs="Times New Roman"/>
          <w:kern w:val="0"/>
          <w:sz w:val="32"/>
          <w:szCs w:val="32"/>
          <w:u w:val="none"/>
          <w:lang w:val="en-US" w:eastAsia="zh-CN"/>
        </w:rPr>
        <w:t>账号：440758608156241035009908001</w:t>
      </w:r>
    </w:p>
    <w:p w14:paraId="034C1C0E">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b/>
          <w:bCs/>
          <w:kern w:val="0"/>
          <w:sz w:val="32"/>
          <w:szCs w:val="32"/>
          <w:u w:val="none"/>
          <w:lang w:val="en-US" w:eastAsia="zh-CN"/>
        </w:rPr>
      </w:pPr>
      <w:r>
        <w:rPr>
          <w:rFonts w:hint="default" w:ascii="Times New Roman" w:hAnsi="Times New Roman" w:eastAsia="微软雅黑" w:cs="Times New Roman"/>
          <w:b w:val="0"/>
          <w:bCs w:val="0"/>
          <w:kern w:val="0"/>
          <w:sz w:val="32"/>
          <w:szCs w:val="32"/>
          <w:u w:val="none"/>
          <w:lang w:val="en-US" w:eastAsia="zh-CN"/>
        </w:rPr>
        <w:t>三、申请行政复议或者提起行政诉讼的途径和期限</w:t>
      </w:r>
    </w:p>
    <w:p w14:paraId="3201E794">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kern w:val="0"/>
          <w:sz w:val="32"/>
          <w:szCs w:val="32"/>
          <w:u w:val="none"/>
          <w:lang w:val="en-US" w:eastAsia="zh-CN"/>
        </w:rPr>
      </w:pPr>
      <w:r>
        <w:rPr>
          <w:rFonts w:hint="default" w:ascii="Times New Roman" w:hAnsi="Times New Roman" w:eastAsia="仿宋_GB2312" w:cs="Times New Roman"/>
          <w:b w:val="0"/>
          <w:bCs w:val="0"/>
          <w:kern w:val="0"/>
          <w:sz w:val="32"/>
          <w:szCs w:val="32"/>
          <w:u w:val="none"/>
          <w:lang w:val="en-US" w:eastAsia="zh-CN"/>
        </w:rPr>
        <w:t>如不服本处罚决定，你单位可在接到本处罚决定书之日起60日内向阳江市人民政府申请复议，也可以在接到处罚决定书之日起6个月内直接向阳江市阳东区人民法院提起行政诉讼。</w:t>
      </w:r>
    </w:p>
    <w:p w14:paraId="4FE479B4">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kern w:val="0"/>
          <w:sz w:val="32"/>
          <w:szCs w:val="32"/>
          <w:u w:val="none"/>
          <w:lang w:val="en-US" w:eastAsia="zh-CN"/>
        </w:rPr>
      </w:pPr>
      <w:r>
        <w:rPr>
          <w:rFonts w:hint="default" w:ascii="Times New Roman" w:hAnsi="Times New Roman" w:eastAsia="仿宋_GB2312" w:cs="Times New Roman"/>
          <w:b w:val="0"/>
          <w:bCs w:val="0"/>
          <w:kern w:val="0"/>
          <w:sz w:val="32"/>
          <w:szCs w:val="32"/>
          <w:u w:val="none"/>
          <w:lang w:val="en-US" w:eastAsia="zh-CN"/>
        </w:rPr>
        <w:t>申请行政复议或者提起行政诉讼，不停止行政处罚决定的执行。逾期不申请行政复议，也不向人民法院提起行政诉讼，又不履行本处罚决定的，我局将依法申请人民法院强制执行。</w:t>
      </w:r>
    </w:p>
    <w:p w14:paraId="079C8F08">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kern w:val="0"/>
          <w:sz w:val="32"/>
          <w:szCs w:val="32"/>
          <w:u w:val="none"/>
          <w:lang w:val="en-US" w:eastAsia="zh-CN"/>
        </w:rPr>
      </w:pPr>
    </w:p>
    <w:p w14:paraId="7EB9A18D">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kern w:val="0"/>
          <w:sz w:val="32"/>
          <w:szCs w:val="32"/>
          <w:u w:val="none"/>
          <w:lang w:val="en-US" w:eastAsia="zh-CN"/>
        </w:rPr>
      </w:pPr>
    </w:p>
    <w:p w14:paraId="4EB16C6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ascii="Times New Roman" w:hAnsi="Times New Roman" w:eastAsia="仿宋" w:cs="Times New Roman"/>
          <w:sz w:val="32"/>
          <w:szCs w:val="32"/>
        </w:rPr>
      </w:pPr>
      <w:r>
        <w:rPr>
          <w:rFonts w:hint="eastAsia" w:ascii="Times New Roman" w:hAnsi="仿宋" w:eastAsia="仿宋" w:cs="Times New Roman"/>
          <w:sz w:val="32"/>
          <w:szCs w:val="32"/>
          <w:lang w:val="en-US" w:eastAsia="zh-CN"/>
        </w:rPr>
        <w:t xml:space="preserve">                                    </w:t>
      </w:r>
      <w:r>
        <w:rPr>
          <w:rFonts w:hint="eastAsia" w:ascii="Times New Roman" w:hAnsi="仿宋" w:eastAsia="仿宋" w:cs="Times New Roman"/>
          <w:sz w:val="32"/>
          <w:szCs w:val="32"/>
        </w:rPr>
        <w:t>阳江市生态环境局</w:t>
      </w:r>
      <w:r>
        <w:rPr>
          <w:rFonts w:hint="eastAsia" w:ascii="Times New Roman" w:hAnsi="仿宋" w:eastAsia="仿宋" w:cs="Times New Roman"/>
          <w:sz w:val="32"/>
          <w:szCs w:val="32"/>
          <w:lang w:val="en-US" w:eastAsia="zh-CN"/>
        </w:rPr>
        <w:t xml:space="preserve"> </w:t>
      </w:r>
      <w:r>
        <w:rPr>
          <w:rFonts w:ascii="Times New Roman" w:hAnsi="仿宋" w:eastAsia="仿宋" w:cs="Times New Roman"/>
          <w:sz w:val="32"/>
          <w:szCs w:val="32"/>
        </w:rPr>
        <w:t xml:space="preserve"> </w:t>
      </w:r>
    </w:p>
    <w:p w14:paraId="6D18A3F7">
      <w:pPr>
        <w:keepNext w:val="0"/>
        <w:keepLines w:val="0"/>
        <w:pageBreakBefore w:val="0"/>
        <w:widowControl w:val="0"/>
        <w:kinsoku/>
        <w:wordWrap/>
        <w:overflowPunct/>
        <w:topLinePunct w:val="0"/>
        <w:autoSpaceDE/>
        <w:autoSpaceDN/>
        <w:bidi w:val="0"/>
        <w:adjustRightInd/>
        <w:snapToGrid/>
        <w:spacing w:line="600" w:lineRule="exact"/>
        <w:ind w:firstLine="5760" w:firstLineChars="1800"/>
        <w:textAlignment w:val="auto"/>
      </w:pPr>
      <w:r>
        <w:rPr>
          <w:rFonts w:ascii="Times New Roman" w:hAnsi="Times New Roman" w:eastAsia="仿宋" w:cs="Times New Roman"/>
          <w:sz w:val="32"/>
          <w:szCs w:val="32"/>
        </w:rPr>
        <w:t>20</w:t>
      </w:r>
      <w:r>
        <w:rPr>
          <w:rFonts w:hint="eastAsia" w:ascii="Times New Roman" w:hAnsi="Times New Roman" w:eastAsia="仿宋" w:cs="Times New Roman"/>
          <w:sz w:val="32"/>
          <w:szCs w:val="32"/>
          <w:lang w:val="en-US" w:eastAsia="zh-CN"/>
        </w:rPr>
        <w:t>25</w:t>
      </w:r>
      <w:r>
        <w:rPr>
          <w:rFonts w:hint="eastAsia" w:ascii="Times New Roman" w:hAnsi="仿宋" w:eastAsia="仿宋" w:cs="Times New Roman"/>
          <w:sz w:val="32"/>
          <w:szCs w:val="32"/>
        </w:rPr>
        <w:t>年</w:t>
      </w:r>
      <w:r>
        <w:rPr>
          <w:rFonts w:hint="eastAsia" w:ascii="Times New Roman" w:hAnsi="Times New Roman" w:eastAsia="仿宋" w:cs="Times New Roman"/>
          <w:sz w:val="32"/>
          <w:szCs w:val="32"/>
          <w:lang w:val="en-US" w:eastAsia="zh-CN"/>
        </w:rPr>
        <w:t>12</w:t>
      </w:r>
      <w:r>
        <w:rPr>
          <w:rFonts w:hint="eastAsia" w:ascii="Times New Roman" w:hAnsi="仿宋" w:eastAsia="仿宋" w:cs="Times New Roman"/>
          <w:sz w:val="32"/>
          <w:szCs w:val="32"/>
        </w:rPr>
        <w:t>月</w:t>
      </w:r>
      <w:r>
        <w:rPr>
          <w:rFonts w:hint="eastAsia" w:ascii="Times New Roman" w:hAnsi="仿宋" w:eastAsia="仿宋" w:cs="Times New Roman"/>
          <w:sz w:val="32"/>
          <w:szCs w:val="32"/>
          <w:lang w:val="en-US" w:eastAsia="zh-CN"/>
        </w:rPr>
        <w:t>5</w:t>
      </w:r>
      <w:r>
        <w:rPr>
          <w:rFonts w:hint="eastAsia" w:ascii="Times New Roman" w:hAnsi="仿宋" w:eastAsia="仿宋" w:cs="Times New Roman"/>
          <w:sz w:val="32"/>
          <w:szCs w:val="32"/>
        </w:rPr>
        <w:t>日</w:t>
      </w:r>
    </w:p>
    <w:p w14:paraId="3283A2E6"/>
    <w:sectPr>
      <w:footerReference r:id="rId3"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AA8AC">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5215255</wp:posOffset>
              </wp:positionH>
              <wp:positionV relativeFrom="paragraph">
                <wp:posOffset>-151765</wp:posOffset>
              </wp:positionV>
              <wp:extent cx="314960" cy="282575"/>
              <wp:effectExtent l="0" t="0" r="0" b="0"/>
              <wp:wrapNone/>
              <wp:docPr id="1" name="矩形 1"/>
              <wp:cNvGraphicFramePr/>
              <a:graphic xmlns:a="http://schemas.openxmlformats.org/drawingml/2006/main">
                <a:graphicData uri="http://schemas.microsoft.com/office/word/2010/wordprocessingShape">
                  <wps:wsp>
                    <wps:cNvSpPr/>
                    <wps:spPr>
                      <a:xfrm>
                        <a:off x="0" y="0"/>
                        <a:ext cx="314960" cy="282575"/>
                      </a:xfrm>
                      <a:prstGeom prst="rect">
                        <a:avLst/>
                      </a:prstGeom>
                      <a:noFill/>
                      <a:ln>
                        <a:noFill/>
                      </a:ln>
                    </wps:spPr>
                    <wps:txbx>
                      <w:txbxContent>
                        <w:p w14:paraId="3B3AC928">
                          <w:pPr>
                            <w:pStyle w:val="3"/>
                            <w:rPr>
                              <w:rFonts w:hint="eastAsia" w:ascii="宋体" w:hAnsi="宋体" w:eastAsia="宋体" w:cs="宋体"/>
                            </w:rPr>
                          </w:pPr>
                          <w:r>
                            <w:rPr>
                              <w:rFonts w:hint="eastAsia" w:ascii="宋体" w:hAnsi="宋体" w:eastAsia="宋体" w:cs="宋体"/>
                              <w:sz w:val="32"/>
                              <w:szCs w:val="32"/>
                              <w:lang w:val="en-US" w:eastAsia="zh-CN"/>
                            </w:rPr>
                            <w:t>-</w:t>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t>1</w:t>
                          </w:r>
                          <w:r>
                            <w:rPr>
                              <w:rFonts w:hint="eastAsia" w:ascii="宋体" w:hAnsi="宋体" w:eastAsia="宋体" w:cs="宋体"/>
                              <w:sz w:val="32"/>
                              <w:szCs w:val="32"/>
                            </w:rPr>
                            <w:fldChar w:fldCharType="end"/>
                          </w:r>
                        </w:p>
                      </w:txbxContent>
                    </wps:txbx>
                    <wps:bodyPr lIns="0" tIns="0" rIns="0" bIns="0" upright="1"/>
                  </wps:wsp>
                </a:graphicData>
              </a:graphic>
            </wp:anchor>
          </w:drawing>
        </mc:Choice>
        <mc:Fallback>
          <w:pict>
            <v:rect id="_x0000_s1026" o:spid="_x0000_s1026" o:spt="1" style="position:absolute;left:0pt;margin-left:410.65pt;margin-top:-11.95pt;height:22.25pt;width:24.8pt;mso-position-horizontal-relative:margin;z-index:251659264;mso-width-relative:page;mso-height-relative:page;" filled="f" stroked="f" coordsize="21600,21600" o:gfxdata="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675xrNsAAAAKAQAADwAAAAAAAAABACAAAAAiAAAAZHJzL2Rvd25yZXYueG1sUEsBAhQAFAAAAAgA&#10;h07iQHPfoKmwAQAAZAMAAA4AAAAAAAAAAQAgAAAAKgEAAGRycy9lMm9Eb2MueG1sUEsFBgAAAAAG&#10;AAYAWQEAAEwFAAAAAA==&#10;">
              <v:path/>
              <v:fill on="f" focussize="0,0"/>
              <v:stroke on="f"/>
              <v:imagedata o:title=""/>
              <o:lock v:ext="edit" grouping="f" rotation="f" text="f" aspectratio="f"/>
              <v:textbox inset="0mm,0mm,0mm,0mm">
                <w:txbxContent>
                  <w:p w14:paraId="3B3AC928">
                    <w:pPr>
                      <w:pStyle w:val="3"/>
                      <w:rPr>
                        <w:rFonts w:hint="eastAsia" w:ascii="宋体" w:hAnsi="宋体" w:eastAsia="宋体" w:cs="宋体"/>
                      </w:rPr>
                    </w:pPr>
                    <w:r>
                      <w:rPr>
                        <w:rFonts w:hint="eastAsia" w:ascii="宋体" w:hAnsi="宋体" w:eastAsia="宋体" w:cs="宋体"/>
                        <w:sz w:val="32"/>
                        <w:szCs w:val="32"/>
                        <w:lang w:val="en-US" w:eastAsia="zh-CN"/>
                      </w:rPr>
                      <w:t>-</w:t>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t>1</w:t>
                    </w:r>
                    <w:r>
                      <w:rPr>
                        <w:rFonts w:hint="eastAsia" w:ascii="宋体" w:hAnsi="宋体" w:eastAsia="宋体" w:cs="宋体"/>
                        <w:sz w:val="32"/>
                        <w:szCs w:val="32"/>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24264C"/>
    <w:rsid w:val="662426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黑体"/>
      <w:kern w:val="2"/>
      <w:sz w:val="21"/>
      <w:szCs w:val="24"/>
      <w:lang w:val="en-US" w:eastAsia="zh-CN"/>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Plain Text1"/>
    <w:basedOn w:val="1"/>
    <w:uiPriority w:val="0"/>
    <w:rPr>
      <w:rFonts w:ascii="宋体" w:hAnsi="Courier New" w:eastAsia="宋体" w:cs="宋体"/>
      <w:sz w:val="21"/>
      <w:szCs w:val="22"/>
    </w:rPr>
  </w:style>
  <w:style w:type="paragraph" w:styleId="3">
    <w:name w:val="footer"/>
    <w:basedOn w:val="1"/>
    <w:qFormat/>
    <w:uiPriority w:val="0"/>
    <w:pPr>
      <w:tabs>
        <w:tab w:val="center" w:pos="4153"/>
        <w:tab w:val="right" w:pos="8306"/>
      </w:tabs>
      <w:snapToGrid w:val="0"/>
      <w:jc w:val="left"/>
    </w:pPr>
    <w:rPr>
      <w:sz w:val="18"/>
    </w:rPr>
  </w:style>
  <w:style w:type="paragraph" w:customStyle="1" w:styleId="6">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2025-12-16T02:01:00Z</dcterms:created>
  <dc:creator>Ly</dc:creator>
  <cp:lastModifiedBy>Ly</cp:lastModifiedBy>
  <dcterms:modified xsi:type="dcterms:W3CDTF">2025-12-16T02:03:19Z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2B7D5D18B82540EDA0190FF1900086F1_11</vt:lpwstr>
  </property>
  <property fmtid="{D5CDD505-2E9C-101B-9397-08002B2CF9AE}" pid="4" name="KSOTemplateDocerSaveRecord">
    <vt:lpwstr>eyJoZGlkIjoiODZlMDJlNzAwZjM4YzEwYjQzODA2OGUzMzcxYmM1YjkiLCJ1c2VySWQiOiI2NDk5NzA1MTQifQ==</vt:lpwstr>
  </property>
</Properties>
</file>