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B363">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bidi="ar"/>
        </w:rPr>
      </w:pPr>
    </w:p>
    <w:p w14:paraId="1E78287C">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bidi="ar"/>
        </w:rPr>
      </w:pPr>
    </w:p>
    <w:p w14:paraId="62777C5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auto"/>
          <w:sz w:val="32"/>
          <w:szCs w:val="32"/>
          <w:u w:val="none"/>
          <w:lang w:val="en-US" w:eastAsia="zh-CN"/>
        </w:rPr>
      </w:pPr>
      <w:bookmarkStart w:id="0" w:name="_GoBack"/>
      <w:r>
        <w:rPr>
          <w:rFonts w:hint="eastAsia" w:ascii="仿宋_GB2312" w:hAnsi="仿宋_GB2312" w:eastAsia="仿宋_GB2312" w:cs="仿宋_GB2312"/>
          <w:color w:val="auto"/>
          <w:sz w:val="32"/>
          <w:szCs w:val="32"/>
          <w:u w:val="none"/>
          <w:lang w:val="en-US" w:eastAsia="zh-CN"/>
        </w:rPr>
        <w:t>春水水保〔2025〕13号</w:t>
      </w:r>
    </w:p>
    <w:bookmarkEnd w:id="0"/>
    <w:p w14:paraId="62F9451B">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bidi="ar"/>
        </w:rPr>
      </w:pPr>
    </w:p>
    <w:p w14:paraId="70080BC4">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ascii="Times New Roman" w:hAnsi="Times New Roman" w:cs="Times New Roman"/>
          <w:sz w:val="36"/>
          <w:szCs w:val="36"/>
        </w:rPr>
      </w:pPr>
      <w:r>
        <w:rPr>
          <w:rFonts w:hint="eastAsia" w:ascii="方正小标宋简体" w:hAnsi="方正小标宋简体" w:eastAsia="方正小标宋简体" w:cs="方正小标宋简体"/>
          <w:color w:val="auto"/>
          <w:kern w:val="2"/>
          <w:sz w:val="36"/>
          <w:szCs w:val="36"/>
          <w:u w:val="none"/>
          <w:lang w:val="en-US" w:eastAsia="zh-CN" w:bidi="ar"/>
        </w:rPr>
        <w:t>广东省阳春人力资源服务产业园基础设施及配套（一期）建设工程项目水土保持方案</w:t>
      </w:r>
      <w:r>
        <w:rPr>
          <w:rFonts w:hint="eastAsia" w:ascii="方正小标宋简体" w:hAnsi="方正小标宋简体" w:eastAsia="方正小标宋简体" w:cs="方正小标宋简体"/>
          <w:color w:val="auto"/>
          <w:spacing w:val="0"/>
          <w:sz w:val="36"/>
          <w:szCs w:val="36"/>
          <w:u w:val="none"/>
          <w:lang w:val="en-US" w:eastAsia="zh-CN"/>
        </w:rPr>
        <w:t>审批准予行政许可决定书</w:t>
      </w:r>
    </w:p>
    <w:p w14:paraId="36290DCD">
      <w:pPr>
        <w:keepNext w:val="0"/>
        <w:keepLines w:val="0"/>
        <w:pageBreakBefore w:val="0"/>
        <w:kinsoku/>
        <w:wordWrap/>
        <w:overflowPunct/>
        <w:topLinePunct w:val="0"/>
        <w:autoSpaceDE/>
        <w:autoSpaceDN/>
        <w:bidi w:val="0"/>
        <w:adjustRightInd/>
        <w:snapToGrid/>
        <w:spacing w:beforeLines="0" w:afterLines="0" w:line="600" w:lineRule="exact"/>
        <w:ind w:firstLine="0"/>
        <w:textAlignment w:val="auto"/>
        <w:rPr>
          <w:rFonts w:hint="eastAsia" w:ascii="Times New Roman" w:hAnsi="Times New Roman" w:eastAsia="仿宋_GB2312" w:cs="Times New Roman"/>
          <w:color w:val="auto"/>
          <w:sz w:val="32"/>
          <w:szCs w:val="32"/>
          <w:u w:val="none"/>
          <w:lang w:bidi="ar"/>
        </w:rPr>
      </w:pPr>
    </w:p>
    <w:p w14:paraId="5AE7310C">
      <w:pPr>
        <w:keepNext w:val="0"/>
        <w:keepLines w:val="0"/>
        <w:pageBreakBefore w:val="0"/>
        <w:kinsoku/>
        <w:wordWrap/>
        <w:overflowPunct/>
        <w:topLinePunct w:val="0"/>
        <w:autoSpaceDE/>
        <w:autoSpaceDN/>
        <w:bidi w:val="0"/>
        <w:adjustRightInd/>
        <w:snapToGrid/>
        <w:spacing w:beforeLines="0" w:afterLines="0" w:line="600" w:lineRule="exact"/>
        <w:ind w:firstLine="0"/>
        <w:textAlignment w:val="auto"/>
        <w:rPr>
          <w:rFonts w:hint="eastAsia" w:ascii="仿宋_GB2312" w:hAnsi="仿宋_GB2312" w:eastAsia="仿宋_GB2312" w:cs="仿宋_GB2312"/>
          <w:color w:val="auto"/>
          <w:sz w:val="32"/>
          <w:szCs w:val="32"/>
          <w:u w:val="none"/>
          <w:lang w:bidi="ar"/>
        </w:rPr>
      </w:pPr>
      <w:r>
        <w:rPr>
          <w:rFonts w:hint="eastAsia" w:ascii="仿宋_GB2312" w:hAnsi="仿宋_GB2312" w:eastAsia="仿宋_GB2312" w:cs="仿宋_GB2312"/>
          <w:color w:val="000000"/>
          <w:kern w:val="0"/>
          <w:sz w:val="32"/>
          <w:szCs w:val="32"/>
          <w:lang w:val="en-US" w:eastAsia="zh-CN" w:bidi="ar"/>
        </w:rPr>
        <w:t>阳春市人力资源和社会保障局</w:t>
      </w:r>
      <w:r>
        <w:rPr>
          <w:rFonts w:hint="eastAsia" w:ascii="仿宋_GB2312" w:hAnsi="仿宋_GB2312" w:eastAsia="仿宋_GB2312" w:cs="仿宋_GB2312"/>
          <w:color w:val="auto"/>
          <w:sz w:val="32"/>
          <w:szCs w:val="32"/>
          <w:u w:val="none"/>
          <w:lang w:bidi="ar"/>
        </w:rPr>
        <w:t>：</w:t>
      </w:r>
    </w:p>
    <w:p w14:paraId="79042EAB">
      <w:pPr>
        <w:keepNext w:val="0"/>
        <w:keepLines w:val="0"/>
        <w:pageBreakBefore w:val="0"/>
        <w:kinsoku/>
        <w:wordWrap/>
        <w:overflowPunct/>
        <w:topLinePunct w:val="0"/>
        <w:autoSpaceDE/>
        <w:autoSpaceDN/>
        <w:bidi w:val="0"/>
        <w:adjustRightInd/>
        <w:snapToGrid/>
        <w:spacing w:beforeLines="0" w:afterLines="0" w:line="600" w:lineRule="exact"/>
        <w:ind w:firstLine="651"/>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收到你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color w:val="auto"/>
          <w:kern w:val="2"/>
          <w:sz w:val="32"/>
          <w:szCs w:val="32"/>
          <w:u w:val="none"/>
          <w:lang w:val="en-US" w:eastAsia="zh-CN" w:bidi="ar"/>
        </w:rPr>
        <w:t>广东省阳春人力资源服务产业园基础设施及配套（一期）建设工程项目水土保持方案</w:t>
      </w:r>
      <w:r>
        <w:rPr>
          <w:rFonts w:hint="eastAsia" w:ascii="仿宋_GB2312" w:hAnsi="仿宋_GB2312" w:eastAsia="仿宋_GB2312" w:cs="仿宋_GB2312"/>
          <w:sz w:val="32"/>
          <w:szCs w:val="32"/>
          <w:lang w:eastAsia="zh-CN"/>
        </w:rPr>
        <w:t>申请材料（包括</w:t>
      </w:r>
      <w:r>
        <w:rPr>
          <w:rFonts w:hint="eastAsia" w:ascii="仿宋_GB2312" w:hAnsi="仿宋_GB2312" w:eastAsia="仿宋_GB2312" w:cs="仿宋_GB2312"/>
          <w:sz w:val="32"/>
          <w:szCs w:val="32"/>
          <w:lang w:val="en-US" w:eastAsia="zh-CN"/>
        </w:rPr>
        <w:t>项目水土保持方案审批申请、项目水土保持方案及项目水土保持方案审批承诺书、</w:t>
      </w:r>
      <w:r>
        <w:rPr>
          <w:rFonts w:hint="eastAsia" w:ascii="仿宋_GB2312" w:hAnsi="仿宋_GB2312" w:eastAsia="仿宋_GB2312" w:cs="仿宋_GB2312"/>
          <w:i w:val="0"/>
          <w:caps w:val="0"/>
          <w:color w:val="auto"/>
          <w:spacing w:val="0"/>
          <w:sz w:val="32"/>
          <w:szCs w:val="32"/>
        </w:rPr>
        <w:t>水土流失防治责任范围图shp格式</w:t>
      </w:r>
      <w:r>
        <w:rPr>
          <w:rFonts w:hint="eastAsia" w:ascii="仿宋_GB2312" w:hAnsi="仿宋_GB2312" w:eastAsia="仿宋_GB2312" w:cs="仿宋_GB2312"/>
          <w:i w:val="0"/>
          <w:caps w:val="0"/>
          <w:color w:val="auto"/>
          <w:spacing w:val="0"/>
          <w:sz w:val="32"/>
          <w:szCs w:val="32"/>
          <w:u w:val="none"/>
          <w:lang w:eastAsia="zh-CN"/>
        </w:rPr>
        <w:t>文件</w:t>
      </w:r>
      <w:r>
        <w:rPr>
          <w:rFonts w:hint="eastAsia" w:ascii="仿宋_GB2312" w:hAnsi="仿宋_GB2312" w:eastAsia="仿宋_GB2312" w:cs="仿宋_GB2312"/>
          <w:i w:val="0"/>
          <w:caps w:val="0"/>
          <w:color w:val="auto"/>
          <w:spacing w:val="0"/>
          <w:sz w:val="32"/>
          <w:szCs w:val="32"/>
          <w:u w:val="none"/>
          <w:lang w:val="en-US" w:eastAsia="zh-CN"/>
        </w:rPr>
        <w:t>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受理你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提出的</w:t>
      </w:r>
      <w:r>
        <w:rPr>
          <w:rFonts w:hint="eastAsia" w:ascii="仿宋_GB2312" w:hAnsi="仿宋_GB2312" w:eastAsia="仿宋_GB2312" w:cs="仿宋_GB2312"/>
          <w:kern w:val="2"/>
          <w:sz w:val="32"/>
          <w:szCs w:val="32"/>
          <w:u w:val="none"/>
          <w:lang w:val="en-US" w:eastAsia="zh-CN" w:bidi="ar"/>
        </w:rPr>
        <w:t>广东省阳春人力资源服务产业园基础设施及配套（一期）建设工程项目水土保持方案</w:t>
      </w:r>
      <w:r>
        <w:rPr>
          <w:rFonts w:hint="eastAsia" w:ascii="仿宋_GB2312" w:hAnsi="仿宋_GB2312" w:eastAsia="仿宋_GB2312" w:cs="仿宋_GB2312"/>
          <w:sz w:val="32"/>
          <w:szCs w:val="32"/>
          <w:u w:val="none"/>
          <w:lang w:val="en-US" w:eastAsia="zh-CN"/>
        </w:rPr>
        <w:t>行政许可</w:t>
      </w:r>
      <w:r>
        <w:rPr>
          <w:rFonts w:hint="eastAsia" w:ascii="仿宋_GB2312" w:hAnsi="仿宋_GB2312" w:eastAsia="仿宋_GB2312" w:cs="仿宋_GB2312"/>
          <w:sz w:val="32"/>
          <w:szCs w:val="32"/>
        </w:rPr>
        <w:t>申请。经</w:t>
      </w:r>
      <w:r>
        <w:rPr>
          <w:rFonts w:hint="eastAsia" w:ascii="仿宋_GB2312" w:hAnsi="仿宋_GB2312" w:eastAsia="仿宋_GB2312" w:cs="仿宋_GB2312"/>
          <w:sz w:val="32"/>
          <w:szCs w:val="32"/>
          <w:lang w:val="en-US" w:eastAsia="zh-CN"/>
        </w:rPr>
        <w:t>程序性</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我局认为你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提交的申请材料符合法定条件。</w:t>
      </w:r>
      <w:r>
        <w:rPr>
          <w:rFonts w:hint="eastAsia" w:ascii="仿宋_GB2312" w:hAnsi="仿宋_GB2312" w:eastAsia="仿宋_GB2312" w:cs="仿宋_GB2312"/>
          <w:spacing w:val="0"/>
          <w:kern w:val="2"/>
          <w:sz w:val="32"/>
          <w:szCs w:val="32"/>
        </w:rPr>
        <w:t>根据</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同意建设期水土流失防治责任范围为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kern w:val="2"/>
          <w:sz w:val="32"/>
          <w:szCs w:val="32"/>
          <w:u w:val="single"/>
          <w:lang w:val="en-US" w:eastAsia="zh-CN" w:bidi="ar"/>
        </w:rPr>
        <w:t xml:space="preserve">1.11 </w:t>
      </w:r>
      <w:r>
        <w:rPr>
          <w:rFonts w:hint="eastAsia" w:ascii="仿宋_GB2312" w:hAnsi="仿宋_GB2312" w:eastAsia="仿宋_GB2312" w:cs="仿宋_GB2312"/>
          <w:sz w:val="32"/>
          <w:szCs w:val="32"/>
        </w:rPr>
        <w:t>公顷。</w:t>
      </w:r>
    </w:p>
    <w:p w14:paraId="339B8AA1">
      <w:pPr>
        <w:keepNext w:val="0"/>
        <w:keepLines w:val="0"/>
        <w:pageBreakBefore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（二）同意水土流失防治</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u w:val="single"/>
          <w:lang w:eastAsia="zh-CN"/>
        </w:rPr>
        <w:t>南方红壤</w:t>
      </w:r>
      <w:r>
        <w:rPr>
          <w:rFonts w:hint="eastAsia" w:ascii="仿宋_GB2312" w:hAnsi="仿宋_GB2312" w:eastAsia="仿宋_GB2312" w:cs="仿宋_GB2312"/>
          <w:sz w:val="32"/>
          <w:szCs w:val="32"/>
          <w:u w:val="single"/>
          <w:lang w:val="en-US" w:eastAsia="zh-CN"/>
        </w:rPr>
        <w:t>区</w:t>
      </w:r>
      <w:r>
        <w:rPr>
          <w:rFonts w:hint="eastAsia" w:ascii="仿宋_GB2312" w:hAnsi="仿宋_GB2312" w:eastAsia="仿宋_GB2312" w:cs="仿宋_GB2312"/>
          <w:sz w:val="32"/>
          <w:szCs w:val="32"/>
          <w:u w:val="single"/>
          <w:lang w:eastAsia="zh-CN"/>
        </w:rPr>
        <w:t>建设类项目</w:t>
      </w:r>
      <w:r>
        <w:rPr>
          <w:rFonts w:hint="eastAsia" w:ascii="仿宋_GB2312" w:hAnsi="仿宋_GB2312" w:eastAsia="仿宋_GB2312" w:cs="仿宋_GB2312"/>
          <w:sz w:val="32"/>
          <w:szCs w:val="32"/>
          <w:u w:val="single"/>
          <w:lang w:val="en-US" w:eastAsia="zh-CN"/>
        </w:rPr>
        <w:t>一</w:t>
      </w:r>
      <w:r>
        <w:rPr>
          <w:rFonts w:hint="eastAsia" w:ascii="仿宋_GB2312" w:hAnsi="仿宋_GB2312" w:eastAsia="仿宋_GB2312" w:cs="仿宋_GB2312"/>
          <w:sz w:val="32"/>
          <w:szCs w:val="32"/>
          <w:u w:val="single"/>
        </w:rPr>
        <w:t>级标准</w:t>
      </w:r>
      <w:r>
        <w:rPr>
          <w:rFonts w:hint="eastAsia" w:ascii="仿宋_GB2312" w:hAnsi="仿宋_GB2312" w:eastAsia="仿宋_GB2312" w:cs="仿宋_GB2312"/>
          <w:sz w:val="32"/>
          <w:szCs w:val="32"/>
        </w:rPr>
        <w:t>。</w:t>
      </w:r>
    </w:p>
    <w:p w14:paraId="1DF330D2">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（三）同意水土流失防治目标为：</w:t>
      </w:r>
      <w:r>
        <w:rPr>
          <w:rFonts w:hint="eastAsia" w:ascii="仿宋_GB2312" w:hAnsi="仿宋_GB2312" w:eastAsia="仿宋_GB2312" w:cs="仿宋_GB2312"/>
          <w:color w:val="auto"/>
          <w:sz w:val="32"/>
          <w:szCs w:val="32"/>
        </w:rPr>
        <w:t>水土流失总治理度</w:t>
      </w:r>
      <w:r>
        <w:rPr>
          <w:rFonts w:hint="eastAsia" w:ascii="仿宋_GB2312" w:hAnsi="仿宋_GB2312" w:eastAsia="仿宋_GB2312" w:cs="仿宋_GB2312"/>
          <w:color w:val="auto"/>
          <w:sz w:val="32"/>
          <w:szCs w:val="32"/>
          <w:u w:val="single"/>
          <w:lang w:val="en-US" w:eastAsia="zh-CN"/>
        </w:rPr>
        <w:t>98</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，土壤流失控制比</w:t>
      </w:r>
      <w:r>
        <w:rPr>
          <w:rFonts w:hint="eastAsia" w:ascii="仿宋_GB2312" w:hAnsi="仿宋_GB2312" w:eastAsia="仿宋_GB2312" w:cs="仿宋_GB2312"/>
          <w:color w:val="auto"/>
          <w:sz w:val="32"/>
          <w:szCs w:val="32"/>
          <w:u w:val="single"/>
          <w:lang w:val="en-US" w:eastAsia="zh-CN"/>
        </w:rPr>
        <w:t xml:space="preserve">1.0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渣土防护率</w:t>
      </w:r>
      <w:r>
        <w:rPr>
          <w:rFonts w:hint="eastAsia" w:ascii="仿宋_GB2312" w:hAnsi="仿宋_GB2312" w:eastAsia="仿宋_GB2312" w:cs="仿宋_GB2312"/>
          <w:color w:val="auto"/>
          <w:sz w:val="32"/>
          <w:szCs w:val="32"/>
          <w:u w:val="single"/>
          <w:lang w:val="en-US" w:eastAsia="zh-CN"/>
        </w:rPr>
        <w:t xml:space="preserve"> 99</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林草植被恢复率</w:t>
      </w:r>
      <w:r>
        <w:rPr>
          <w:rFonts w:hint="eastAsia" w:ascii="仿宋_GB2312" w:hAnsi="仿宋_GB2312" w:eastAsia="仿宋_GB2312" w:cs="仿宋_GB2312"/>
          <w:color w:val="auto"/>
          <w:sz w:val="32"/>
          <w:szCs w:val="32"/>
          <w:u w:val="single"/>
          <w:lang w:val="en-US" w:eastAsia="zh-CN"/>
        </w:rPr>
        <w:t xml:space="preserve"> 98</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，林草覆盖率</w:t>
      </w:r>
      <w:r>
        <w:rPr>
          <w:rFonts w:hint="eastAsia" w:ascii="仿宋_GB2312" w:hAnsi="仿宋_GB2312" w:eastAsia="仿宋_GB2312" w:cs="仿宋_GB2312"/>
          <w:color w:val="auto"/>
          <w:sz w:val="32"/>
          <w:szCs w:val="32"/>
          <w:u w:val="single"/>
          <w:lang w:val="en-US" w:eastAsia="zh-CN"/>
        </w:rPr>
        <w:t>13</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w:t>
      </w:r>
    </w:p>
    <w:p w14:paraId="68BB5B41">
      <w:pPr>
        <w:keepNext w:val="0"/>
        <w:keepLines w:val="0"/>
        <w:pageBreakBefore w:val="0"/>
        <w:kinsoku/>
        <w:wordWrap/>
        <w:overflowPunct/>
        <w:topLinePunct w:val="0"/>
        <w:autoSpaceDE/>
        <w:autoSpaceDN/>
        <w:bidi w:val="0"/>
        <w:adjustRightInd/>
        <w:snapToGrid/>
        <w:spacing w:beforeLines="0" w:afterLines="0" w:line="600" w:lineRule="exact"/>
        <w:ind w:right="105" w:rightChars="50" w:firstLine="65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（四）</w:t>
      </w:r>
      <w:r>
        <w:rPr>
          <w:rFonts w:hint="eastAsia" w:ascii="仿宋_GB2312" w:hAnsi="仿宋_GB2312" w:eastAsia="仿宋_GB2312" w:cs="仿宋_GB2312"/>
          <w:color w:val="auto"/>
          <w:sz w:val="32"/>
          <w:szCs w:val="32"/>
        </w:rPr>
        <w:t>基本同意水土流失防治分区及分区防治措施安排。</w:t>
      </w:r>
    </w:p>
    <w:p w14:paraId="089B029F">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right="105" w:rightChars="50" w:firstLine="65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highlight w:val="none"/>
          <w:lang w:eastAsia="zh-CN"/>
        </w:rPr>
        <w:t>同意建设期水土保持补偿费为</w:t>
      </w:r>
      <w:r>
        <w:rPr>
          <w:rFonts w:hint="eastAsia" w:ascii="仿宋_GB2312" w:hAnsi="仿宋_GB2312" w:eastAsia="仿宋_GB2312" w:cs="仿宋_GB2312"/>
          <w:color w:val="auto"/>
          <w:spacing w:val="4"/>
          <w:sz w:val="32"/>
          <w:szCs w:val="32"/>
          <w:highlight w:val="none"/>
          <w:u w:val="single"/>
          <w:lang w:val="en-US" w:eastAsia="zh-CN"/>
        </w:rPr>
        <w:t>6600</w:t>
      </w:r>
      <w:r>
        <w:rPr>
          <w:rFonts w:hint="eastAsia" w:ascii="仿宋_GB2312" w:hAnsi="仿宋_GB2312" w:eastAsia="仿宋_GB2312" w:cs="仿宋_GB2312"/>
          <w:color w:val="auto"/>
          <w:spacing w:val="4"/>
          <w:sz w:val="32"/>
          <w:szCs w:val="32"/>
          <w:highlight w:val="none"/>
          <w:lang w:eastAsia="zh-CN"/>
        </w:rPr>
        <w:t>元（补偿面</w:t>
      </w:r>
      <w:r>
        <w:rPr>
          <w:rFonts w:hint="eastAsia" w:ascii="仿宋_GB2312" w:hAnsi="仿宋_GB2312" w:eastAsia="仿宋_GB2312" w:cs="仿宋_GB2312"/>
          <w:color w:val="auto"/>
          <w:spacing w:val="4"/>
          <w:sz w:val="32"/>
          <w:szCs w:val="32"/>
          <w:highlight w:val="none"/>
          <w:lang w:val="en-US" w:eastAsia="zh-CN"/>
        </w:rPr>
        <w:t>积</w:t>
      </w:r>
      <w:r>
        <w:rPr>
          <w:rFonts w:hint="eastAsia" w:ascii="仿宋_GB2312" w:hAnsi="仿宋_GB2312" w:eastAsia="仿宋_GB2312" w:cs="仿宋_GB2312"/>
          <w:color w:val="auto"/>
          <w:spacing w:val="4"/>
          <w:kern w:val="2"/>
          <w:sz w:val="32"/>
          <w:szCs w:val="32"/>
          <w:highlight w:val="none"/>
          <w:u w:val="none"/>
          <w:lang w:val="en-US" w:eastAsia="zh-CN" w:bidi="ar"/>
        </w:rPr>
        <w:t>11100</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0.6</w:t>
      </w:r>
      <w:r>
        <w:rPr>
          <w:rFonts w:hint="eastAsia" w:ascii="仿宋_GB2312" w:hAnsi="仿宋_GB2312" w:eastAsia="仿宋_GB2312" w:cs="仿宋_GB2312"/>
          <w:color w:val="auto"/>
          <w:spacing w:val="4"/>
          <w:sz w:val="32"/>
          <w:szCs w:val="32"/>
          <w:highlight w:val="none"/>
          <w:lang w:eastAsia="zh-CN"/>
        </w:rPr>
        <w:t>元/㎡)，</w:t>
      </w:r>
      <w:r>
        <w:rPr>
          <w:rFonts w:hint="eastAsia" w:ascii="仿宋_GB2312" w:hAnsi="仿宋_GB2312" w:eastAsia="仿宋_GB2312" w:cs="仿宋_GB2312"/>
          <w:color w:val="auto"/>
          <w:spacing w:val="4"/>
          <w:sz w:val="32"/>
          <w:szCs w:val="32"/>
          <w:highlight w:val="none"/>
        </w:rPr>
        <w:t>根据《广东省发展改革委广东省财政厅广东省水利厅关于规范水土保持补偿费征收标准的通知》（粤发改价格〔2021〕231号），该项目需缴纳水土保持补偿费为</w:t>
      </w:r>
      <w:r>
        <w:rPr>
          <w:rFonts w:hint="eastAsia" w:ascii="仿宋_GB2312" w:hAnsi="仿宋_GB2312" w:eastAsia="仿宋_GB2312" w:cs="仿宋_GB2312"/>
          <w:color w:val="auto"/>
          <w:spacing w:val="4"/>
          <w:sz w:val="32"/>
          <w:szCs w:val="32"/>
          <w:highlight w:val="none"/>
          <w:u w:val="single"/>
          <w:lang w:val="en-US" w:eastAsia="zh-CN"/>
        </w:rPr>
        <w:t>6600</w:t>
      </w:r>
      <w:r>
        <w:rPr>
          <w:rFonts w:hint="eastAsia" w:ascii="仿宋_GB2312" w:hAnsi="仿宋_GB2312" w:eastAsia="仿宋_GB2312" w:cs="仿宋_GB2312"/>
          <w:color w:val="auto"/>
          <w:spacing w:val="4"/>
          <w:sz w:val="32"/>
          <w:szCs w:val="32"/>
          <w:highlight w:val="none"/>
        </w:rPr>
        <w:t>元</w:t>
      </w:r>
      <w:r>
        <w:rPr>
          <w:rFonts w:hint="eastAsia" w:ascii="仿宋_GB2312" w:hAnsi="仿宋_GB2312" w:eastAsia="仿宋_GB2312" w:cs="仿宋_GB2312"/>
          <w:color w:val="auto"/>
          <w:spacing w:val="4"/>
          <w:sz w:val="32"/>
          <w:szCs w:val="32"/>
          <w:highlight w:val="none"/>
          <w:lang w:eastAsia="zh-CN"/>
        </w:rPr>
        <w:t>。</w:t>
      </w:r>
    </w:p>
    <w:p w14:paraId="2B49954E">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right="105" w:rightChars="50" w:firstLine="640" w:firstLineChars="200"/>
        <w:textAlignment w:val="auto"/>
        <w:rPr>
          <w:rFonts w:hint="eastAsia" w:ascii="仿宋_GB2312" w:hAnsi="仿宋_GB2312" w:eastAsia="仿宋_GB2312" w:cs="仿宋_GB2312"/>
          <w:sz w:val="32"/>
          <w:szCs w:val="32"/>
          <w:lang w:val="en-US" w:eastAsia="zh-CN"/>
        </w:rPr>
      </w:pPr>
    </w:p>
    <w:p w14:paraId="7B9599BC">
      <w:pPr>
        <w:keepNext w:val="0"/>
        <w:keepLines w:val="0"/>
        <w:pageBreakBefore w:val="0"/>
        <w:widowControl/>
        <w:kinsoku/>
        <w:wordWrap/>
        <w:overflowPunct/>
        <w:topLinePunct w:val="0"/>
        <w:autoSpaceDE/>
        <w:autoSpaceDN/>
        <w:bidi w:val="0"/>
        <w:adjustRightInd/>
        <w:snapToGrid/>
        <w:spacing w:beforeLines="0" w:afterLines="0" w:line="600" w:lineRule="exact"/>
        <w:ind w:left="1598" w:leftChars="304" w:hanging="960" w:hangingChars="3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kern w:val="2"/>
          <w:sz w:val="32"/>
          <w:szCs w:val="32"/>
          <w:u w:val="none"/>
          <w:lang w:val="en-US" w:eastAsia="zh-CN" w:bidi="ar"/>
        </w:rPr>
        <w:t>广东省阳春人力资源服务产业园基础设施及配套（一期）建设工程项目水土保持方案</w:t>
      </w:r>
      <w:r>
        <w:rPr>
          <w:rFonts w:hint="eastAsia" w:ascii="仿宋_GB2312" w:hAnsi="仿宋_GB2312" w:eastAsia="仿宋_GB2312" w:cs="仿宋_GB2312"/>
          <w:color w:val="000000"/>
          <w:spacing w:val="0"/>
          <w:sz w:val="32"/>
          <w:szCs w:val="32"/>
          <w:u w:val="none"/>
          <w:lang w:val="en-US" w:eastAsia="zh-CN"/>
        </w:rPr>
        <w:t>告知书</w:t>
      </w:r>
    </w:p>
    <w:p w14:paraId="179CA93E">
      <w:pPr>
        <w:keepNext w:val="0"/>
        <w:keepLines w:val="0"/>
        <w:pageBreakBefore w:val="0"/>
        <w:kinsoku/>
        <w:wordWrap/>
        <w:overflowPunct/>
        <w:topLinePunct w:val="0"/>
        <w:autoSpaceDE/>
        <w:autoSpaceDN/>
        <w:bidi w:val="0"/>
        <w:adjustRightInd/>
        <w:snapToGrid/>
        <w:spacing w:beforeLines="0" w:afterLines="0" w:line="600"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p>
    <w:p w14:paraId="4CE4C9F8">
      <w:pPr>
        <w:keepNext w:val="0"/>
        <w:keepLines w:val="0"/>
        <w:pageBreakBefore w:val="0"/>
        <w:kinsoku/>
        <w:wordWrap/>
        <w:overflowPunct/>
        <w:topLinePunct w:val="0"/>
        <w:autoSpaceDE/>
        <w:autoSpaceDN/>
        <w:bidi w:val="0"/>
        <w:adjustRightInd/>
        <w:snapToGrid/>
        <w:spacing w:beforeLines="0" w:afterLines="0" w:line="600" w:lineRule="exact"/>
        <w:ind w:left="0" w:leftChars="0" w:firstLine="0" w:firstLineChars="0"/>
        <w:textAlignment w:val="auto"/>
        <w:rPr>
          <w:rFonts w:hint="eastAsia" w:ascii="仿宋_GB2312" w:hAnsi="仿宋_GB2312" w:eastAsia="仿宋_GB2312" w:cs="仿宋_GB2312"/>
          <w:color w:val="000000"/>
          <w:sz w:val="32"/>
          <w:szCs w:val="32"/>
        </w:rPr>
      </w:pPr>
    </w:p>
    <w:p w14:paraId="6A776E00">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keepNext w:val="0"/>
        <w:keepLines w:val="0"/>
        <w:pageBreakBefore w:val="0"/>
        <w:kinsoku/>
        <w:wordWrap/>
        <w:overflowPunct/>
        <w:topLinePunct w:val="0"/>
        <w:autoSpaceDE/>
        <w:autoSpaceDN/>
        <w:bidi w:val="0"/>
        <w:adjustRightInd/>
        <w:snapToGrid/>
        <w:spacing w:beforeLines="0" w:afterLines="0" w:line="600" w:lineRule="exact"/>
        <w:ind w:firstLine="656" w:firstLineChars="200"/>
        <w:textAlignment w:val="auto"/>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eastAsia" w:ascii="仿宋_GB2312" w:hAnsi="仿宋_GB2312" w:eastAsia="仿宋_GB2312" w:cs="仿宋_GB2312"/>
          <w:sz w:val="32"/>
          <w:szCs w:val="32"/>
          <w:u w:val="none"/>
          <w:lang w:val="en-US" w:eastAsia="zh-CN"/>
        </w:rPr>
      </w:pPr>
    </w:p>
    <w:p w14:paraId="4D66071F">
      <w:pPr>
        <w:rPr>
          <w:rFonts w:hint="eastAsia" w:ascii="仿宋_GB2312" w:hAnsi="仿宋_GB2312" w:eastAsia="仿宋_GB2312" w:cs="仿宋_GB2312"/>
          <w:sz w:val="32"/>
          <w:szCs w:val="32"/>
        </w:rPr>
      </w:pPr>
    </w:p>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01297"/>
    <w:rsid w:val="4222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640</Characters>
  <Lines>0</Lines>
  <Paragraphs>0</Paragraphs>
  <TotalTime>4</TotalTime>
  <ScaleCrop>false</ScaleCrop>
  <LinksUpToDate>false</LinksUpToDate>
  <CharactersWithSpaces>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-陈 开 心。</cp:lastModifiedBy>
  <cp:lastPrinted>2025-12-22T08:32:04Z</cp:lastPrinted>
  <dcterms:modified xsi:type="dcterms:W3CDTF">2025-12-23T07:23:43Z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eyJoZGlkIjoiOTIxZTc1M2QzMTAxZTllZTYyODJiMTkzM2NmZmNiYmIiLCJ1c2VySWQiOiI3MTE4ODk1NDIifQ==</vt:lpwstr>
  </property>
  <property fmtid="{D5CDD505-2E9C-101B-9397-08002B2CF9AE}" pid="4" name="ICV">
    <vt:lpwstr>9214F8A64B7147D59871A5439353C76A_13</vt:lpwstr>
  </property>
</Properties>
</file>