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579" w:lineRule="exact"/>
        <w:ind w:firstLine="640" w:firstLineChars="200"/>
        <w:rPr>
          <w:rFonts w:eastAsia="方正仿宋简体"/>
          <w:sz w:val="32"/>
          <w:szCs w:val="32"/>
        </w:rPr>
      </w:pPr>
    </w:p>
    <w:p>
      <w:pPr>
        <w:pStyle w:val="38"/>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eastAsia="方正仿宋简体"/>
          <w:sz w:val="32"/>
          <w:szCs w:val="32"/>
        </w:rPr>
      </w:pPr>
      <w:r>
        <w:rPr>
          <w:rFonts w:eastAsia="方正仿宋简体"/>
          <w:sz w:val="32"/>
          <w:szCs w:val="32"/>
        </w:rPr>
        <w:t>阳环（春）建审〔202</w:t>
      </w:r>
      <w:r>
        <w:rPr>
          <w:rFonts w:hint="eastAsia" w:eastAsia="方正仿宋简体"/>
          <w:sz w:val="32"/>
          <w:szCs w:val="32"/>
          <w:lang w:val="en-US" w:eastAsia="zh-CN"/>
        </w:rPr>
        <w:t>6</w:t>
      </w:r>
      <w:r>
        <w:rPr>
          <w:rFonts w:eastAsia="方正仿宋简体"/>
          <w:sz w:val="32"/>
          <w:szCs w:val="32"/>
        </w:rPr>
        <w:t>〕</w:t>
      </w:r>
      <w:r>
        <w:rPr>
          <w:rFonts w:hint="eastAsia" w:eastAsia="方正仿宋简体"/>
          <w:sz w:val="32"/>
          <w:szCs w:val="32"/>
          <w:lang w:val="en-US" w:eastAsia="zh-CN"/>
        </w:rPr>
        <w:t>3</w:t>
      </w:r>
      <w:r>
        <w:rPr>
          <w:rFonts w:eastAsia="方正仿宋简体"/>
          <w:sz w:val="32"/>
          <w:szCs w:val="32"/>
        </w:rPr>
        <w:t>号</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eastAsia="方正仿宋简体"/>
          <w:sz w:val="32"/>
          <w:szCs w:val="32"/>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eastAsia="方正小标宋简体"/>
          <w:sz w:val="40"/>
          <w:szCs w:val="40"/>
          <w:lang w:eastAsia="zh-CN"/>
        </w:rPr>
      </w:pPr>
      <w:bookmarkStart w:id="0" w:name="OLE_LINK5"/>
      <w:r>
        <w:rPr>
          <w:rFonts w:hint="eastAsia" w:ascii="方正小标宋简体" w:eastAsia="方正小标宋简体"/>
          <w:sz w:val="40"/>
          <w:szCs w:val="40"/>
        </w:rPr>
        <w:t>阳江市生态环境局关于</w:t>
      </w:r>
      <w:bookmarkStart w:id="1" w:name="OLE_LINK1"/>
      <w:r>
        <w:rPr>
          <w:rFonts w:hint="eastAsia" w:ascii="方正小标宋简体" w:eastAsia="方正小标宋简体"/>
          <w:sz w:val="40"/>
          <w:szCs w:val="40"/>
          <w:lang w:eastAsia="zh-CN"/>
        </w:rPr>
        <w:t>阳春市晨铭五金塑胶有限</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eastAsia="方正小标宋简体"/>
          <w:sz w:val="40"/>
          <w:szCs w:val="40"/>
        </w:rPr>
      </w:pPr>
      <w:r>
        <w:rPr>
          <w:rFonts w:hint="eastAsia" w:ascii="方正小标宋简体" w:eastAsia="方正小标宋简体"/>
          <w:sz w:val="40"/>
          <w:szCs w:val="40"/>
          <w:lang w:eastAsia="zh-CN"/>
        </w:rPr>
        <w:t>公司五金塑胶制品项目</w:t>
      </w:r>
      <w:bookmarkEnd w:id="1"/>
      <w:r>
        <w:rPr>
          <w:rFonts w:hint="eastAsia" w:ascii="方正小标宋简体" w:eastAsia="方正小标宋简体"/>
          <w:sz w:val="40"/>
          <w:szCs w:val="40"/>
        </w:rPr>
        <w:t>环境影响报告表的批复</w:t>
      </w:r>
      <w:bookmarkStart w:id="3" w:name="_GoBack"/>
      <w:bookmarkEnd w:id="3"/>
    </w:p>
    <w:bookmarkEnd w:id="0"/>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eastAsia="方正仿宋简体"/>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阳春市晨铭五金塑胶有限公司</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bidi w:val="0"/>
        <w:snapToGri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你单位报批的《</w:t>
      </w:r>
      <w:bookmarkStart w:id="2" w:name="OLE_LINK2"/>
      <w:r>
        <w:rPr>
          <w:rFonts w:hint="eastAsia" w:ascii="仿宋_GB2312" w:hAnsi="仿宋_GB2312" w:eastAsia="仿宋_GB2312" w:cs="仿宋_GB2312"/>
          <w:sz w:val="32"/>
          <w:szCs w:val="32"/>
          <w:lang w:eastAsia="zh-CN"/>
        </w:rPr>
        <w:t>阳春市晨铭五金塑胶有限公司</w:t>
      </w:r>
      <w:bookmarkEnd w:id="2"/>
      <w:r>
        <w:rPr>
          <w:rFonts w:hint="eastAsia" w:ascii="仿宋_GB2312" w:hAnsi="仿宋_GB2312" w:eastAsia="仿宋_GB2312" w:cs="仿宋_GB2312"/>
          <w:sz w:val="32"/>
          <w:szCs w:val="32"/>
          <w:lang w:eastAsia="zh-CN"/>
        </w:rPr>
        <w:t>五金塑胶制品项目</w:t>
      </w:r>
      <w:r>
        <w:rPr>
          <w:rFonts w:hint="eastAsia" w:ascii="仿宋_GB2312" w:hAnsi="仿宋_GB2312" w:eastAsia="仿宋_GB2312" w:cs="仿宋_GB2312"/>
          <w:sz w:val="32"/>
          <w:szCs w:val="32"/>
        </w:rPr>
        <w:t>环境影响报告表》（以下简称《报告表》）等材料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收悉。经研究，现根据《中华人民共和国环境保护法》、《中华人民共和国环境影响评价法》，批复如下：</w:t>
      </w:r>
    </w:p>
    <w:p>
      <w:pPr>
        <w:pStyle w:val="29"/>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一、项目位于阳江市阳春市春城街道阳春产业转移工业园园富路180号，中心地理坐标为东经111</w:t>
      </w:r>
      <w:r>
        <w:rPr>
          <w:rFonts w:hint="eastAsia" w:ascii="宋体" w:hAnsi="宋体" w:eastAsia="宋体" w:cs="宋体"/>
          <w:sz w:val="32"/>
          <w:szCs w:val="32"/>
          <w:lang w:val="en-US" w:eastAsia="zh-CN"/>
        </w:rPr>
        <w:t>°</w:t>
      </w:r>
      <w:r>
        <w:rPr>
          <w:rFonts w:hint="eastAsia" w:ascii="仿宋_GB2312" w:hAnsi="仿宋_GB2312" w:eastAsia="仿宋_GB2312" w:cs="仿宋_GB2312"/>
          <w:sz w:val="32"/>
          <w:szCs w:val="32"/>
          <w:lang w:val="en-US" w:eastAsia="zh-CN"/>
        </w:rPr>
        <w:t>44</w:t>
      </w:r>
      <w:r>
        <w:rPr>
          <w:rFonts w:hint="eastAsia" w:ascii="宋体" w:hAnsi="宋体" w:eastAsia="宋体" w:cs="宋体"/>
          <w:sz w:val="32"/>
          <w:szCs w:val="32"/>
          <w:lang w:val="en-US" w:eastAsia="zh-CN"/>
        </w:rPr>
        <w:t>′</w:t>
      </w:r>
      <w:r>
        <w:rPr>
          <w:rFonts w:hint="eastAsia" w:ascii="仿宋_GB2312" w:hAnsi="仿宋_GB2312" w:eastAsia="仿宋_GB2312" w:cs="仿宋_GB2312"/>
          <w:sz w:val="32"/>
          <w:szCs w:val="32"/>
          <w:lang w:val="en-US" w:eastAsia="zh-CN"/>
        </w:rPr>
        <w:t>31.736</w:t>
      </w:r>
      <w:r>
        <w:rPr>
          <w:rFonts w:hint="default" w:ascii="Times New Roman" w:hAnsi="Times New Roman" w:eastAsia="仿宋_GB2312" w:cs="Times New Roman"/>
          <w:sz w:val="32"/>
          <w:szCs w:val="32"/>
          <w:lang w:val="en-US" w:eastAsia="zh-CN"/>
        </w:rPr>
        <w:t>"</w:t>
      </w:r>
      <w:r>
        <w:rPr>
          <w:rFonts w:hint="eastAsia" w:ascii="仿宋_GB2312" w:hAnsi="仿宋_GB2312" w:eastAsia="仿宋_GB2312" w:cs="仿宋_GB2312"/>
          <w:sz w:val="32"/>
          <w:szCs w:val="32"/>
          <w:lang w:val="en-US" w:eastAsia="zh-CN"/>
        </w:rPr>
        <w:t>，北纬21</w:t>
      </w:r>
      <w:r>
        <w:rPr>
          <w:rFonts w:hint="eastAsia" w:ascii="宋体" w:hAnsi="宋体" w:eastAsia="宋体" w:cs="宋体"/>
          <w:sz w:val="32"/>
          <w:szCs w:val="32"/>
          <w:lang w:val="en-US" w:eastAsia="zh-CN"/>
        </w:rPr>
        <w:t>°</w:t>
      </w:r>
      <w:r>
        <w:rPr>
          <w:rFonts w:hint="eastAsia" w:ascii="仿宋_GB2312" w:hAnsi="仿宋_GB2312" w:eastAsia="仿宋_GB2312" w:cs="仿宋_GB2312"/>
          <w:sz w:val="32"/>
          <w:szCs w:val="32"/>
          <w:lang w:val="en-US" w:eastAsia="zh-CN"/>
        </w:rPr>
        <w:t>8</w:t>
      </w:r>
      <w:r>
        <w:rPr>
          <w:rFonts w:hint="eastAsia" w:ascii="宋体" w:hAnsi="宋体" w:eastAsia="宋体" w:cs="宋体"/>
          <w:sz w:val="32"/>
          <w:szCs w:val="32"/>
          <w:lang w:val="en-US" w:eastAsia="zh-CN"/>
        </w:rPr>
        <w:t>′</w:t>
      </w:r>
      <w:r>
        <w:rPr>
          <w:rFonts w:hint="eastAsia" w:ascii="仿宋_GB2312" w:hAnsi="仿宋_GB2312" w:eastAsia="仿宋_GB2312" w:cs="仿宋_GB2312"/>
          <w:sz w:val="32"/>
          <w:szCs w:val="32"/>
          <w:lang w:val="en-US" w:eastAsia="zh-CN"/>
        </w:rPr>
        <w:t>54.319</w:t>
      </w:r>
      <w:r>
        <w:rPr>
          <w:rFonts w:hint="default" w:ascii="Times New Roman" w:hAnsi="Times New Roman" w:eastAsia="仿宋_GB2312" w:cs="Times New Roman"/>
          <w:sz w:val="32"/>
          <w:szCs w:val="32"/>
          <w:lang w:val="en-US" w:eastAsia="zh-CN"/>
        </w:rPr>
        <w:t>"</w:t>
      </w:r>
      <w:r>
        <w:rPr>
          <w:rFonts w:hint="eastAsia" w:ascii="仿宋_GB2312" w:hAnsi="仿宋_GB2312" w:eastAsia="仿宋_GB2312" w:cs="仿宋_GB2312"/>
          <w:sz w:val="32"/>
          <w:szCs w:val="32"/>
          <w:lang w:val="en-US" w:eastAsia="zh-CN"/>
        </w:rPr>
        <w:t>。项目总投资300万元，其中环保投资20万元,占地面积7350m</w:t>
      </w:r>
      <w:r>
        <w:rPr>
          <w:rFonts w:hint="eastAsia" w:ascii="仿宋_GB2312" w:hAnsi="仿宋_GB2312" w:eastAsia="仿宋_GB2312" w:cs="仿宋_GB2312"/>
          <w:sz w:val="32"/>
          <w:szCs w:val="32"/>
          <w:vertAlign w:val="superscript"/>
          <w:lang w:val="en-US" w:eastAsia="zh-CN"/>
        </w:rPr>
        <w:t>2</w:t>
      </w:r>
      <w:r>
        <w:rPr>
          <w:rFonts w:hint="eastAsia" w:ascii="仿宋_GB2312" w:hAnsi="仿宋_GB2312" w:eastAsia="仿宋_GB2312" w:cs="仿宋_GB2312"/>
          <w:sz w:val="32"/>
          <w:szCs w:val="32"/>
          <w:lang w:val="en-US" w:eastAsia="zh-CN"/>
        </w:rPr>
        <w:t>，建筑面积7200m</w:t>
      </w:r>
      <w:r>
        <w:rPr>
          <w:rFonts w:hint="eastAsia" w:ascii="仿宋_GB2312" w:hAnsi="仿宋_GB2312" w:eastAsia="仿宋_GB2312" w:cs="仿宋_GB2312"/>
          <w:sz w:val="32"/>
          <w:szCs w:val="32"/>
          <w:vertAlign w:val="superscript"/>
          <w:lang w:val="en-US" w:eastAsia="zh-CN"/>
        </w:rPr>
        <w:t>2</w:t>
      </w:r>
      <w:r>
        <w:rPr>
          <w:rFonts w:hint="eastAsia" w:ascii="仿宋_GB2312" w:hAnsi="仿宋_GB2312" w:eastAsia="仿宋_GB2312" w:cs="仿宋_GB2312"/>
          <w:sz w:val="32"/>
          <w:szCs w:val="32"/>
          <w:lang w:val="en-US" w:eastAsia="zh-CN"/>
        </w:rPr>
        <w:t>，主要建设内容为1栋1层厂房，按实际生产需要分为注塑车间、仓库、碎料房、半成品加工车间、办公室等，主要从事水泵塑料零件的生产，年产塑料配件180万个。</w:t>
      </w:r>
    </w:p>
    <w:p>
      <w:pPr>
        <w:pStyle w:val="29"/>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项目工作人员28人，均不在厂内食宿，年工作300天，每天1班，每班8小时。</w:t>
      </w:r>
    </w:p>
    <w:p>
      <w:pPr>
        <w:pStyle w:val="29"/>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二、</w:t>
      </w:r>
      <w:r>
        <w:rPr>
          <w:rFonts w:hint="eastAsia" w:ascii="仿宋_GB2312" w:hAnsi="仿宋_GB2312" w:eastAsia="仿宋_GB2312" w:cs="仿宋_GB2312"/>
          <w:sz w:val="32"/>
          <w:szCs w:val="32"/>
        </w:rPr>
        <w:t>根据《报告表》的评价结论，在全面落实《报告表》提出的各项污染防治和环境风险防范措施，并确保各类污染物稳定达标排放且符合总量控制要求的前提下，项目按照《报告表》中所列性质、规模、地点、采用的生产工艺和防治污染、防止生态破坏的措施进行建设，从环境</w:t>
      </w:r>
      <w:r>
        <w:rPr>
          <w:rFonts w:hint="eastAsia" w:ascii="仿宋_GB2312" w:hAnsi="仿宋_GB2312" w:eastAsia="仿宋_GB2312" w:cs="仿宋_GB2312"/>
          <w:sz w:val="32"/>
          <w:szCs w:val="32"/>
          <w:lang w:eastAsia="zh-CN"/>
        </w:rPr>
        <w:t>影响</w:t>
      </w:r>
      <w:r>
        <w:rPr>
          <w:rFonts w:hint="eastAsia" w:ascii="仿宋_GB2312" w:hAnsi="仿宋_GB2312" w:eastAsia="仿宋_GB2312" w:cs="仿宋_GB2312"/>
          <w:sz w:val="32"/>
          <w:szCs w:val="32"/>
        </w:rPr>
        <w:t>角度</w:t>
      </w:r>
      <w:r>
        <w:rPr>
          <w:rFonts w:hint="eastAsia" w:ascii="仿宋_GB2312" w:hAnsi="仿宋_GB2312" w:eastAsia="仿宋_GB2312" w:cs="仿宋_GB2312"/>
          <w:sz w:val="32"/>
          <w:szCs w:val="32"/>
          <w:lang w:eastAsia="zh-CN"/>
        </w:rPr>
        <w:t>看</w:t>
      </w:r>
      <w:r>
        <w:rPr>
          <w:rFonts w:hint="eastAsia" w:ascii="仿宋_GB2312" w:hAnsi="仿宋_GB2312" w:eastAsia="仿宋_GB2312" w:cs="仿宋_GB2312"/>
          <w:sz w:val="32"/>
          <w:szCs w:val="32"/>
        </w:rPr>
        <w:t>可行。经阳江市生态环境局阳春分局局务会集体研究决定，原则</w:t>
      </w:r>
      <w:r>
        <w:rPr>
          <w:rFonts w:hint="eastAsia" w:ascii="仿宋_GB2312" w:hAnsi="仿宋_GB2312" w:eastAsia="仿宋_GB2312" w:cs="仿宋_GB2312"/>
          <w:sz w:val="32"/>
          <w:szCs w:val="32"/>
          <w:lang w:eastAsia="zh-CN"/>
        </w:rPr>
        <w:t>上</w:t>
      </w:r>
      <w:r>
        <w:rPr>
          <w:rFonts w:hint="eastAsia" w:ascii="仿宋_GB2312" w:hAnsi="仿宋_GB2312" w:eastAsia="仿宋_GB2312" w:cs="仿宋_GB2312"/>
          <w:sz w:val="32"/>
          <w:szCs w:val="32"/>
        </w:rPr>
        <w:t xml:space="preserve">通过对《报告表》的审查。你单位应按照《报告表》内容组织实施。项目建设和运营中还应重点做好以下工作: </w:t>
      </w:r>
    </w:p>
    <w:p>
      <w:pPr>
        <w:pStyle w:val="29"/>
        <w:keepNext w:val="0"/>
        <w:keepLines w:val="0"/>
        <w:pageBreakBefore w:val="0"/>
        <w:widowControl w:val="0"/>
        <w:kinsoku/>
        <w:wordWrap/>
        <w:overflowPunct/>
        <w:topLinePunct w:val="0"/>
        <w:autoSpaceDE w:val="0"/>
        <w:autoSpaceDN w:val="0"/>
        <w:bidi w:val="0"/>
        <w:adjustRightInd w:val="0"/>
        <w:snapToGrid/>
        <w:spacing w:line="600" w:lineRule="exact"/>
        <w:ind w:firstLine="640" w:firstLineChars="200"/>
        <w:jc w:val="both"/>
        <w:textAlignment w:val="baseline"/>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rPr>
        <w:t>（一）严格落实大气污染防治措施。</w:t>
      </w:r>
      <w:r>
        <w:rPr>
          <w:rFonts w:hint="eastAsia" w:ascii="仿宋_GB2312" w:hAnsi="仿宋_GB2312" w:eastAsia="仿宋_GB2312" w:cs="仿宋_GB2312"/>
          <w:sz w:val="32"/>
          <w:szCs w:val="32"/>
          <w:lang w:val="zh-CN" w:eastAsia="zh-CN"/>
        </w:rPr>
        <w:t>项目生产过程中废气主要为注塑有机废气（以非甲烷总烃表征）及恶臭、塑料破碎粉尘。注塑废气经集气罩加四周软帘围挡收集通过“两级活性炭吸附装置 ”处理后经 15m 高的排气筒（DA001）排放，有组织非甲烷总烃排放浓度执行《合成树脂工业污染物排放标准》（GB31572-2015）（含 2024 年修改单）表 5 大气污染物特别排放限值，臭气排放浓度执行《恶臭污染物排放标准》 （GB14554-93）表 2 恶臭污染物排放标准值；塑料破碎粉尘在车间内无组织排放。厂内无组织非甲烷总烃排放浓度执行《固定污染源挥发性有机物综合排放标准》；厂界无组织非甲烷总烃、颗粒物排放浓度执行《合成树脂工业污染物排放标准》（GB31572-2015）（含 2024 年修改单）表 9 企业厂界大气污染物浓度限值、臭气浓度执行《恶臭污染物排放标准》（GB14554-93）表1二级新扩改建标准。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lang w:val="en-US" w:eastAsia="zh-CN"/>
        </w:rPr>
      </w:pPr>
      <w:r>
        <w:rPr>
          <w:rFonts w:hint="eastAsia" w:ascii="仿宋_GB2312" w:hAnsi="仿宋_GB2312" w:eastAsia="仿宋_GB2312" w:cs="仿宋_GB2312"/>
          <w:color w:val="auto"/>
          <w:sz w:val="32"/>
          <w:szCs w:val="32"/>
          <w:lang w:eastAsia="zh-CN"/>
        </w:rPr>
        <w:t>本项目</w:t>
      </w:r>
      <w:r>
        <w:rPr>
          <w:rFonts w:hint="eastAsia" w:ascii="仿宋_GB2312" w:hAnsi="仿宋_GB2312" w:eastAsia="仿宋_GB2312" w:cs="仿宋_GB2312"/>
          <w:color w:val="auto"/>
          <w:sz w:val="32"/>
          <w:szCs w:val="32"/>
          <w:lang w:val="en-US" w:eastAsia="zh-CN"/>
        </w:rPr>
        <w:t>VOCs</w:t>
      </w:r>
      <w:r>
        <w:rPr>
          <w:rFonts w:hint="eastAsia" w:ascii="仿宋_GB2312" w:hAnsi="仿宋_GB2312" w:eastAsia="仿宋_GB2312" w:cs="仿宋_GB2312"/>
          <w:color w:val="auto"/>
          <w:kern w:val="2"/>
          <w:sz w:val="32"/>
          <w:szCs w:val="32"/>
          <w:lang w:val="zh-CN" w:eastAsia="zh-CN" w:bidi="ar-SA"/>
        </w:rPr>
        <w:t>排放量应</w:t>
      </w:r>
      <w:r>
        <w:rPr>
          <w:rFonts w:hint="eastAsia" w:ascii="仿宋_GB2312" w:hAnsi="仿宋_GB2312" w:eastAsia="仿宋_GB2312" w:cs="仿宋_GB2312"/>
          <w:color w:val="auto"/>
          <w:sz w:val="32"/>
          <w:szCs w:val="32"/>
          <w:lang w:eastAsia="zh-CN"/>
        </w:rPr>
        <w:t>控制在</w:t>
      </w:r>
      <w:r>
        <w:rPr>
          <w:rFonts w:hint="eastAsia" w:ascii="仿宋_GB2312" w:hAnsi="仿宋_GB2312" w:eastAsia="仿宋_GB2312" w:cs="仿宋_GB2312"/>
          <w:color w:val="auto"/>
          <w:sz w:val="32"/>
          <w:szCs w:val="32"/>
          <w:lang w:val="en-US" w:eastAsia="zh-CN"/>
        </w:rPr>
        <w:t>0.2166</w:t>
      </w:r>
      <w:r>
        <w:rPr>
          <w:rFonts w:hint="eastAsia" w:ascii="仿宋_GB2312" w:hAnsi="仿宋_GB2312" w:eastAsia="仿宋_GB2312" w:cs="仿宋_GB2312"/>
          <w:color w:val="auto"/>
          <w:sz w:val="32"/>
          <w:szCs w:val="32"/>
          <w:lang w:eastAsia="zh-CN"/>
        </w:rPr>
        <w:t>以内（</w:t>
      </w:r>
      <w:r>
        <w:rPr>
          <w:rFonts w:hint="eastAsia" w:ascii="仿宋_GB2312" w:hAnsi="仿宋_GB2312" w:eastAsia="仿宋_GB2312" w:cs="仿宋_GB2312"/>
          <w:color w:val="auto"/>
          <w:sz w:val="32"/>
          <w:szCs w:val="32"/>
          <w:lang w:val="en-US" w:eastAsia="zh-CN"/>
        </w:rPr>
        <w:t>其中有组织排放量为0.0336t/a，无组织排放量为0.183t/a</w:t>
      </w:r>
      <w:r>
        <w:rPr>
          <w:rFonts w:hint="eastAsia" w:ascii="仿宋_GB2312" w:hAnsi="仿宋_GB2312" w:eastAsia="仿宋_GB2312" w:cs="仿宋_GB2312"/>
          <w:color w:val="auto"/>
          <w:sz w:val="32"/>
          <w:szCs w:val="32"/>
          <w:lang w:eastAsia="zh-CN"/>
        </w:rPr>
        <w:t>）。</w:t>
      </w:r>
    </w:p>
    <w:p>
      <w:pPr>
        <w:pStyle w:val="3"/>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严格落实水污染防治措施。项目须按照“雨污分流、循环用水”的原则设置给排水系统。</w:t>
      </w:r>
      <w:r>
        <w:rPr>
          <w:rFonts w:hint="eastAsia" w:ascii="仿宋_GB2312" w:hAnsi="仿宋_GB2312" w:eastAsia="仿宋_GB2312" w:cs="仿宋_GB2312"/>
          <w:sz w:val="32"/>
          <w:szCs w:val="32"/>
          <w:lang w:val="en-US" w:eastAsia="zh-CN"/>
        </w:rPr>
        <w:t>项目生活污水经化粪池处理达到广东省《水污染物排放限值》（BD44/26-2001）第二时段三级标准及阳春产业转移工业园污水处理厂进水标准两者较严值后，经市政污水管网进入阳春产业转移工业园污水处理厂进一步处理。冷却水循环利用，定期补充，不外排。</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严格落实噪声污染防治措施。项目应对噪声源采取适当降噪、墙体隔音、减振、吸声、消音等治理措施，</w:t>
      </w:r>
      <w:r>
        <w:rPr>
          <w:rFonts w:hint="eastAsia" w:ascii="仿宋_GB2312" w:hAnsi="仿宋_GB2312" w:eastAsia="仿宋_GB2312" w:cs="仿宋_GB2312"/>
          <w:sz w:val="32"/>
          <w:szCs w:val="32"/>
          <w:lang w:eastAsia="zh-CN"/>
        </w:rPr>
        <w:t>项目厂</w:t>
      </w:r>
      <w:r>
        <w:rPr>
          <w:rFonts w:hint="eastAsia" w:ascii="仿宋_GB2312" w:hAnsi="仿宋_GB2312" w:eastAsia="仿宋_GB2312" w:cs="仿宋_GB2312"/>
          <w:sz w:val="32"/>
          <w:szCs w:val="32"/>
        </w:rPr>
        <w:t>界</w:t>
      </w:r>
      <w:r>
        <w:rPr>
          <w:rFonts w:hint="eastAsia" w:ascii="仿宋_GB2312" w:hAnsi="仿宋_GB2312" w:eastAsia="仿宋_GB2312" w:cs="仿宋_GB2312"/>
          <w:sz w:val="32"/>
          <w:szCs w:val="32"/>
          <w:lang w:eastAsia="zh-CN"/>
        </w:rPr>
        <w:t>噪声执行</w:t>
      </w:r>
      <w:r>
        <w:rPr>
          <w:rFonts w:hint="eastAsia" w:ascii="仿宋_GB2312" w:hAnsi="仿宋_GB2312" w:eastAsia="仿宋_GB2312" w:cs="仿宋_GB2312"/>
          <w:sz w:val="32"/>
          <w:szCs w:val="32"/>
        </w:rPr>
        <w:t>《工业企业厂界环境噪声排放标准》（GB12348-2008）中</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类标准，即昼间≤</w:t>
      </w:r>
      <w:r>
        <w:rPr>
          <w:rFonts w:hint="eastAsia" w:ascii="仿宋_GB2312" w:hAnsi="仿宋_GB2312" w:eastAsia="仿宋_GB2312" w:cs="仿宋_GB2312"/>
          <w:sz w:val="32"/>
          <w:szCs w:val="32"/>
          <w:lang w:val="en-US" w:eastAsia="zh-CN"/>
        </w:rPr>
        <w:t>65</w:t>
      </w:r>
      <w:r>
        <w:rPr>
          <w:rFonts w:hint="eastAsia" w:ascii="仿宋_GB2312" w:hAnsi="仿宋_GB2312" w:eastAsia="仿宋_GB2312" w:cs="仿宋_GB2312"/>
          <w:sz w:val="32"/>
          <w:szCs w:val="32"/>
        </w:rPr>
        <w:t>dB(A)，夜间≤5</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dB(A)。</w:t>
      </w:r>
    </w:p>
    <w:p>
      <w:pPr>
        <w:keepNext w:val="0"/>
        <w:keepLines w:val="0"/>
        <w:pageBreakBefore w:val="0"/>
        <w:widowControl w:val="0"/>
        <w:kinsoku/>
        <w:wordWrap/>
        <w:overflowPunct/>
        <w:topLinePunct w:val="0"/>
        <w:bidi w:val="0"/>
        <w:snapToGrid/>
        <w:spacing w:line="560" w:lineRule="exact"/>
        <w:ind w:firstLine="640" w:firstLineChars="200"/>
        <w:jc w:val="both"/>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（四）严格落实固体废物分类处置和综合利用措施。</w:t>
      </w:r>
      <w:r>
        <w:rPr>
          <w:rFonts w:hint="eastAsia" w:ascii="仿宋_GB2312" w:hAnsi="仿宋_GB2312" w:eastAsia="仿宋_GB2312" w:cs="仿宋_GB2312"/>
          <w:sz w:val="32"/>
          <w:szCs w:val="32"/>
          <w:highlight w:val="none"/>
          <w:lang w:val="en-US" w:eastAsia="zh-CN"/>
        </w:rPr>
        <w:t>项目生产过程中产生的固废主要是废包装材料、塑料不合格产品、塑料边角料、废矿物油、废矿物油桶、废活性炭、含油废抹布及手套、生活垃圾。其中一般固废有废包装材料交专业回收公司回收处理；塑料不合格产品、塑料边角料经收集后破碎回用于生产。生活垃圾统一收集后委托环卫部门定期清理。危险废物废矿物油、废矿物油桶、废活性炭、含油废抹布及手套交由有相应危废资质单位回收处置。</w:t>
      </w:r>
    </w:p>
    <w:p>
      <w:pPr>
        <w:keepNext w:val="0"/>
        <w:keepLines w:val="0"/>
        <w:pageBreakBefore w:val="0"/>
        <w:widowControl w:val="0"/>
        <w:kinsoku/>
        <w:wordWrap/>
        <w:overflowPunct/>
        <w:topLinePunct w:val="0"/>
        <w:bidi w:val="0"/>
        <w:snapToGrid/>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三、项目环保投资应纳入工程投资概算并予以落实。</w:t>
      </w:r>
    </w:p>
    <w:p>
      <w:pPr>
        <w:keepNext w:val="0"/>
        <w:keepLines w:val="0"/>
        <w:pageBreakBefore w:val="0"/>
        <w:widowControl w:val="0"/>
        <w:kinsoku/>
        <w:wordWrap/>
        <w:overflowPunct/>
        <w:topLinePunct w:val="0"/>
        <w:bidi w:val="0"/>
        <w:snapToGrid/>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四、《报告表》经批准后，建设项目的性质、规模、地点、采用的生产工艺或者防治污染、防止生态破坏的措施发生重大变动的，建设单位应当重新报批建设项目的环境影响评价文件。</w:t>
      </w:r>
    </w:p>
    <w:p>
      <w:pPr>
        <w:keepNext w:val="0"/>
        <w:keepLines w:val="0"/>
        <w:pageBreakBefore w:val="0"/>
        <w:widowControl w:val="0"/>
        <w:kinsoku/>
        <w:wordWrap/>
        <w:overflowPunct/>
        <w:topLinePunct w:val="0"/>
        <w:bidi w:val="0"/>
        <w:snapToGrid/>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五、项目建设应严格执行配套建设的环境保护设施与主体工程同时设计、同时施工、同时投产使用的环境保护“三同时”制度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并按规定接受生态环境部门日常监督检查。</w:t>
      </w:r>
    </w:p>
    <w:p>
      <w:pPr>
        <w:keepNext w:val="0"/>
        <w:keepLines w:val="0"/>
        <w:pageBreakBefore w:val="0"/>
        <w:widowControl w:val="0"/>
        <w:kinsoku/>
        <w:wordWrap/>
        <w:overflowPunct/>
        <w:topLinePunct w:val="0"/>
        <w:bidi w:val="0"/>
        <w:snapToGrid/>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六、建设单位应根据《建设项目竣工环境保护验收暂行办法》，自行开展环境保护验收工作。验收报告公示期满后5个工作日内，登录全国建设项目竣工环境保护验收信息平台，填报建设项目基本信息、环境保护设施验收情况等相关信息。</w:t>
      </w:r>
    </w:p>
    <w:p>
      <w:pPr>
        <w:pStyle w:val="29"/>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七、建设单位应根据《排污许可管理条例》、《固定污染源排污许可分类管理名录》（2019年版）等相关法律法规要求，完成排污许可相关手续。</w:t>
      </w:r>
    </w:p>
    <w:p>
      <w:pPr>
        <w:keepNext w:val="0"/>
        <w:keepLines w:val="0"/>
        <w:pageBreakBefore w:val="0"/>
        <w:widowControl w:val="0"/>
        <w:kinsoku/>
        <w:wordWrap/>
        <w:overflowPunct/>
        <w:topLinePunct w:val="0"/>
        <w:bidi w:val="0"/>
        <w:snapToGrid/>
        <w:spacing w:line="560" w:lineRule="exact"/>
        <w:ind w:firstLine="4160" w:firstLineChars="1300"/>
        <w:rPr>
          <w:rFonts w:hint="eastAsia" w:ascii="仿宋_GB2312" w:hAnsi="仿宋_GB2312" w:eastAsia="仿宋_GB2312" w:cs="仿宋_GB2312"/>
          <w:sz w:val="32"/>
          <w:szCs w:val="32"/>
        </w:rPr>
      </w:pPr>
    </w:p>
    <w:p>
      <w:pPr>
        <w:pStyle w:val="29"/>
        <w:keepNext w:val="0"/>
        <w:keepLines w:val="0"/>
        <w:pageBreakBefore w:val="0"/>
        <w:widowControl w:val="0"/>
        <w:kinsoku/>
        <w:wordWrap/>
        <w:overflowPunct/>
        <w:topLinePunct w:val="0"/>
        <w:bidi w:val="0"/>
        <w:snapToGrid/>
        <w:spacing w:line="560" w:lineRule="exact"/>
        <w:rPr>
          <w:rFonts w:hint="eastAsia"/>
        </w:rPr>
      </w:pPr>
    </w:p>
    <w:p>
      <w:pPr>
        <w:keepNext w:val="0"/>
        <w:keepLines w:val="0"/>
        <w:pageBreakBefore w:val="0"/>
        <w:widowControl w:val="0"/>
        <w:kinsoku/>
        <w:wordWrap/>
        <w:overflowPunct/>
        <w:topLinePunct w:val="0"/>
        <w:bidi w:val="0"/>
        <w:snapToGrid/>
        <w:spacing w:line="560" w:lineRule="exact"/>
        <w:ind w:firstLine="5440" w:firstLineChars="17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阳江市生态环境局</w:t>
      </w:r>
    </w:p>
    <w:p>
      <w:pPr>
        <w:keepNext w:val="0"/>
        <w:keepLines w:val="0"/>
        <w:pageBreakBefore w:val="0"/>
        <w:widowControl w:val="0"/>
        <w:kinsoku/>
        <w:wordWrap/>
        <w:overflowPunct/>
        <w:topLinePunct w:val="0"/>
        <w:bidi w:val="0"/>
        <w:snapToGrid/>
        <w:spacing w:line="560" w:lineRule="exact"/>
        <w:ind w:firstLine="5440" w:firstLineChars="1700"/>
        <w:jc w:val="left"/>
        <w:rPr>
          <w:rFonts w:eastAsia="方正仿宋简体"/>
          <w:color w:val="FF0000"/>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日</w:t>
      </w:r>
    </w:p>
    <w:sectPr>
      <w:footerReference r:id="rId3" w:type="default"/>
      <w:pgSz w:w="11906" w:h="16838"/>
      <w:pgMar w:top="2098" w:right="1474" w:bottom="1020" w:left="1588" w:header="851" w:footer="992"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S Mincho">
    <w:panose1 w:val="02020609040205080304"/>
    <w:charset w:val="80"/>
    <w:family w:val="roman"/>
    <w:pitch w:val="default"/>
    <w:sig w:usb0="E00002FF" w:usb1="6AC7FDFB" w:usb2="00000012" w:usb3="00000000" w:csb0="4002009F" w:csb1="DFD70000"/>
  </w:font>
  <w:font w:name="仿宋_GB2312">
    <w:panose1 w:val="02010609030101010101"/>
    <w:charset w:val="86"/>
    <w:family w:val="modern"/>
    <w:pitch w:val="default"/>
    <w:sig w:usb0="00000001" w:usb1="080E0000" w:usb2="00000000" w:usb3="00000000" w:csb0="00040000" w:csb1="00000000"/>
    <w:embedRegular r:id="rId1" w:fontKey="{9EA8CF42-0F46-4790-BD89-9C997797ACD1}"/>
  </w:font>
  <w:font w:name="寰蒋闆呴粦">
    <w:altName w:val="微软雅黑"/>
    <w:panose1 w:val="00000000000000000000"/>
    <w:charset w:val="00"/>
    <w:family w:val="auto"/>
    <w:pitch w:val="default"/>
    <w:sig w:usb0="00000000" w:usb1="00000000" w:usb2="00000000" w:usb3="00000000" w:csb0="00040001" w:csb1="00000000"/>
  </w:font>
  <w:font w:name="方正仿宋简体">
    <w:altName w:val="微软雅黑"/>
    <w:panose1 w:val="03000509000000000000"/>
    <w:charset w:val="86"/>
    <w:family w:val="script"/>
    <w:pitch w:val="default"/>
    <w:sig w:usb0="00000000" w:usb1="00000000" w:usb2="00000000" w:usb3="00000000" w:csb0="00040000" w:csb1="00000000"/>
    <w:embedRegular r:id="rId2" w:fontKey="{0F97330F-1920-43EC-8A98-5FA0381BC4FA}"/>
  </w:font>
  <w:font w:name="方正小标宋简体">
    <w:panose1 w:val="02000000000000000000"/>
    <w:charset w:val="86"/>
    <w:family w:val="script"/>
    <w:pitch w:val="default"/>
    <w:sig w:usb0="00000001" w:usb1="08000000" w:usb2="00000000" w:usb3="00000000" w:csb0="00040000" w:csb1="00000000"/>
    <w:embedRegular r:id="rId3" w:fontKey="{3DDF99D8-3D84-4D48-82FE-3F1CCF967C5C}"/>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outside" w:yAlign="top"/>
      <w:pBdr>
        <w:between w:val="none" w:color="auto" w:sz="0" w:space="0"/>
      </w:pBdr>
    </w:pPr>
    <w:r>
      <w:rPr>
        <w:rFonts w:hint="eastAsia" w:ascii="仿宋_GB2312" w:hAnsi="仿宋_GB2312" w:eastAsia="仿宋_GB2312"/>
        <w:sz w:val="28"/>
      </w:rPr>
      <w:fldChar w:fldCharType="begin"/>
    </w:r>
    <w:r>
      <w:rPr>
        <w:rStyle w:val="25"/>
        <w:rFonts w:hint="eastAsia" w:ascii="仿宋_GB2312" w:hAnsi="仿宋_GB2312" w:eastAsia="仿宋_GB2312"/>
        <w:sz w:val="28"/>
      </w:rPr>
      <w:instrText xml:space="preserve"> PAGE  </w:instrText>
    </w:r>
    <w:r>
      <w:rPr>
        <w:rFonts w:hint="eastAsia" w:ascii="仿宋_GB2312" w:hAnsi="仿宋_GB2312" w:eastAsia="仿宋_GB2312"/>
        <w:sz w:val="28"/>
      </w:rPr>
      <w:fldChar w:fldCharType="separate"/>
    </w:r>
    <w:r>
      <w:rPr>
        <w:rStyle w:val="25"/>
        <w:rFonts w:ascii="仿宋_GB2312" w:hAnsi="仿宋_GB2312" w:eastAsia="仿宋_GB2312"/>
        <w:sz w:val="28"/>
      </w:rPr>
      <w:t>- 2 -</w:t>
    </w:r>
    <w:r>
      <w:rPr>
        <w:rFonts w:hint="eastAsia" w:ascii="仿宋_GB2312" w:hAnsi="仿宋_GB2312" w:eastAsia="仿宋_GB2312"/>
        <w:sz w:val="28"/>
      </w:rPr>
      <w:fldChar w:fldCharType="end"/>
    </w:r>
  </w:p>
  <w:p>
    <w:pPr>
      <w:pStyle w:val="17"/>
      <w:ind w:right="360"/>
      <w:rPr>
        <w:rFonts w:hint="eastAsia"/>
      </w:rPr>
    </w:pPr>
    <w:r>
      <w:rPr>
        <w:rFonts w:hint="eastAsia"/>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446AAD"/>
    <w:multiLevelType w:val="multilevel"/>
    <w:tmpl w:val="DB446AAD"/>
    <w:lvl w:ilvl="0" w:tentative="0">
      <w:start w:val="1"/>
      <w:numFmt w:val="decimal"/>
      <w:suff w:val="nothing"/>
      <w:lvlText w:val="%1."/>
      <w:lvlJc w:val="left"/>
      <w:pPr>
        <w:ind w:left="432" w:hanging="432"/>
      </w:pPr>
      <w:rPr>
        <w:rFonts w:hint="default"/>
      </w:rPr>
    </w:lvl>
    <w:lvl w:ilvl="1" w:tentative="0">
      <w:start w:val="1"/>
      <w:numFmt w:val="decimal"/>
      <w:suff w:val="nothing"/>
      <w:lvlText w:val="%1.%2"/>
      <w:lvlJc w:val="left"/>
      <w:pPr>
        <w:ind w:left="575" w:hanging="575"/>
      </w:pPr>
    </w:lvl>
    <w:lvl w:ilvl="2" w:tentative="0">
      <w:start w:val="1"/>
      <w:numFmt w:val="decimal"/>
      <w:pStyle w:val="36"/>
      <w:suff w:val="nothing"/>
      <w:lvlText w:val="%1.%2.%3"/>
      <w:lvlJc w:val="left"/>
      <w:pPr>
        <w:ind w:left="720" w:hanging="720"/>
      </w:pPr>
    </w:lvl>
    <w:lvl w:ilvl="3" w:tentative="0">
      <w:start w:val="1"/>
      <w:numFmt w:val="decimal"/>
      <w:suff w:val="nothing"/>
      <w:lvlText w:val="%1.%2.%3.%4"/>
      <w:lvlJc w:val="left"/>
      <w:pPr>
        <w:ind w:left="864" w:hanging="864"/>
      </w:pPr>
      <w:rPr>
        <w:rFonts w:hint="default" w:ascii="Times New Roman" w:hAnsi="Times New Roman" w:eastAsia="宋体" w:cs="Times New Roman"/>
        <w:b/>
        <w:bCs w:val="0"/>
        <w:sz w:val="24"/>
        <w:szCs w:val="24"/>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724C3539"/>
    <w:multiLevelType w:val="singleLevel"/>
    <w:tmpl w:val="724C3539"/>
    <w:lvl w:ilvl="0" w:tentative="0">
      <w:start w:val="1"/>
      <w:numFmt w:val="bullet"/>
      <w:pStyle w:val="12"/>
      <w:lvlText w:val=""/>
      <w:lvlJc w:val="left"/>
      <w:pPr>
        <w:tabs>
          <w:tab w:val="left" w:pos="780"/>
        </w:tabs>
        <w:ind w:left="7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readOnly" w:enforcement="1"/>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lmZGVlMjEyYjgyYWY0MzhhMGI3YWQwNmE1NDc4YWIifQ=="/>
  </w:docVars>
  <w:rsids>
    <w:rsidRoot w:val="00172A27"/>
    <w:rsid w:val="00087A9F"/>
    <w:rsid w:val="000C6ED3"/>
    <w:rsid w:val="002E336F"/>
    <w:rsid w:val="00376DB1"/>
    <w:rsid w:val="003E7F38"/>
    <w:rsid w:val="004457C8"/>
    <w:rsid w:val="004F7D4B"/>
    <w:rsid w:val="0056199B"/>
    <w:rsid w:val="007B37AF"/>
    <w:rsid w:val="00A62F7C"/>
    <w:rsid w:val="00AB2587"/>
    <w:rsid w:val="00B91268"/>
    <w:rsid w:val="00D91300"/>
    <w:rsid w:val="00E57775"/>
    <w:rsid w:val="011A328F"/>
    <w:rsid w:val="013B4EB6"/>
    <w:rsid w:val="017442FA"/>
    <w:rsid w:val="018C249A"/>
    <w:rsid w:val="01AF0E8E"/>
    <w:rsid w:val="01EF0F49"/>
    <w:rsid w:val="02240524"/>
    <w:rsid w:val="024A1BEE"/>
    <w:rsid w:val="03701E50"/>
    <w:rsid w:val="04836133"/>
    <w:rsid w:val="055E224C"/>
    <w:rsid w:val="06C922FB"/>
    <w:rsid w:val="06CB0518"/>
    <w:rsid w:val="08930B50"/>
    <w:rsid w:val="08BF22FE"/>
    <w:rsid w:val="09C70560"/>
    <w:rsid w:val="0A440FE4"/>
    <w:rsid w:val="0B2B4716"/>
    <w:rsid w:val="0BCD0230"/>
    <w:rsid w:val="0BDA284A"/>
    <w:rsid w:val="0C6C3B47"/>
    <w:rsid w:val="0C6F0B41"/>
    <w:rsid w:val="0CDB5B80"/>
    <w:rsid w:val="0DA62A21"/>
    <w:rsid w:val="0DCB3E19"/>
    <w:rsid w:val="0E835B7C"/>
    <w:rsid w:val="0EBD5122"/>
    <w:rsid w:val="0EEB483E"/>
    <w:rsid w:val="0F492922"/>
    <w:rsid w:val="0F5F2F14"/>
    <w:rsid w:val="10563548"/>
    <w:rsid w:val="106908E7"/>
    <w:rsid w:val="11624E28"/>
    <w:rsid w:val="116C60EB"/>
    <w:rsid w:val="11A02C31"/>
    <w:rsid w:val="11EF1C1E"/>
    <w:rsid w:val="11F21F51"/>
    <w:rsid w:val="124B4A8F"/>
    <w:rsid w:val="12887C05"/>
    <w:rsid w:val="138C102F"/>
    <w:rsid w:val="13F84313"/>
    <w:rsid w:val="1463461F"/>
    <w:rsid w:val="151B4EE0"/>
    <w:rsid w:val="15313219"/>
    <w:rsid w:val="15AC1DE4"/>
    <w:rsid w:val="161222F2"/>
    <w:rsid w:val="16AE1F94"/>
    <w:rsid w:val="16E15727"/>
    <w:rsid w:val="170D11CC"/>
    <w:rsid w:val="18A21398"/>
    <w:rsid w:val="18E71F41"/>
    <w:rsid w:val="19691309"/>
    <w:rsid w:val="199C5D44"/>
    <w:rsid w:val="19CA10C7"/>
    <w:rsid w:val="1A1C3315"/>
    <w:rsid w:val="1A8F1A17"/>
    <w:rsid w:val="1AA17168"/>
    <w:rsid w:val="1ABC3B86"/>
    <w:rsid w:val="1C303B51"/>
    <w:rsid w:val="1C3F7586"/>
    <w:rsid w:val="1D434921"/>
    <w:rsid w:val="1DD141DB"/>
    <w:rsid w:val="1E322872"/>
    <w:rsid w:val="1E59638F"/>
    <w:rsid w:val="1FB3345F"/>
    <w:rsid w:val="1FEE20AC"/>
    <w:rsid w:val="204607B7"/>
    <w:rsid w:val="224663FF"/>
    <w:rsid w:val="23047487"/>
    <w:rsid w:val="256E4A38"/>
    <w:rsid w:val="257C3E00"/>
    <w:rsid w:val="25EE3094"/>
    <w:rsid w:val="26017076"/>
    <w:rsid w:val="263973EF"/>
    <w:rsid w:val="268A58A2"/>
    <w:rsid w:val="27046688"/>
    <w:rsid w:val="271C38B7"/>
    <w:rsid w:val="273E668C"/>
    <w:rsid w:val="2769195B"/>
    <w:rsid w:val="286E00DC"/>
    <w:rsid w:val="29554664"/>
    <w:rsid w:val="29FD6F9B"/>
    <w:rsid w:val="2A3E70CF"/>
    <w:rsid w:val="2BB039F3"/>
    <w:rsid w:val="2C4D3B33"/>
    <w:rsid w:val="2C5F0FDF"/>
    <w:rsid w:val="2C743DDE"/>
    <w:rsid w:val="2C9D3A89"/>
    <w:rsid w:val="2D0F00ED"/>
    <w:rsid w:val="2D922956"/>
    <w:rsid w:val="2D961A00"/>
    <w:rsid w:val="2E7555D3"/>
    <w:rsid w:val="2E99606A"/>
    <w:rsid w:val="2F154177"/>
    <w:rsid w:val="2FF677AC"/>
    <w:rsid w:val="305111DE"/>
    <w:rsid w:val="30851151"/>
    <w:rsid w:val="30A772FA"/>
    <w:rsid w:val="31507699"/>
    <w:rsid w:val="32786EF6"/>
    <w:rsid w:val="331F7621"/>
    <w:rsid w:val="33A70526"/>
    <w:rsid w:val="33A819B6"/>
    <w:rsid w:val="348F6760"/>
    <w:rsid w:val="34A4335D"/>
    <w:rsid w:val="34BD32E6"/>
    <w:rsid w:val="34C53F49"/>
    <w:rsid w:val="3570073D"/>
    <w:rsid w:val="36102183"/>
    <w:rsid w:val="368E25BE"/>
    <w:rsid w:val="36A30716"/>
    <w:rsid w:val="36EE7787"/>
    <w:rsid w:val="37242F9D"/>
    <w:rsid w:val="376C2B53"/>
    <w:rsid w:val="37F9283D"/>
    <w:rsid w:val="38325D99"/>
    <w:rsid w:val="388339D3"/>
    <w:rsid w:val="38D16693"/>
    <w:rsid w:val="3A6154D0"/>
    <w:rsid w:val="3A8A46FF"/>
    <w:rsid w:val="3B4513A3"/>
    <w:rsid w:val="3C1747CF"/>
    <w:rsid w:val="3C5F3172"/>
    <w:rsid w:val="3C634773"/>
    <w:rsid w:val="3CAA7622"/>
    <w:rsid w:val="3CBB3B2E"/>
    <w:rsid w:val="3CD15B81"/>
    <w:rsid w:val="3D743BD2"/>
    <w:rsid w:val="3DDD1152"/>
    <w:rsid w:val="3DE33AFD"/>
    <w:rsid w:val="3EB968CD"/>
    <w:rsid w:val="3F80513D"/>
    <w:rsid w:val="3F8913C1"/>
    <w:rsid w:val="3FD25E21"/>
    <w:rsid w:val="3FFE2074"/>
    <w:rsid w:val="40294CB3"/>
    <w:rsid w:val="405651CC"/>
    <w:rsid w:val="41004C87"/>
    <w:rsid w:val="41381679"/>
    <w:rsid w:val="41516E84"/>
    <w:rsid w:val="41765D5A"/>
    <w:rsid w:val="41DF74C3"/>
    <w:rsid w:val="43DE6155"/>
    <w:rsid w:val="44FA3C5F"/>
    <w:rsid w:val="46953AA5"/>
    <w:rsid w:val="478859BA"/>
    <w:rsid w:val="48AE4431"/>
    <w:rsid w:val="48EB621C"/>
    <w:rsid w:val="48F14EB5"/>
    <w:rsid w:val="490B736D"/>
    <w:rsid w:val="4937535F"/>
    <w:rsid w:val="494D61AB"/>
    <w:rsid w:val="495530D2"/>
    <w:rsid w:val="499D334C"/>
    <w:rsid w:val="49D630AE"/>
    <w:rsid w:val="4A18316A"/>
    <w:rsid w:val="4A2C4AC9"/>
    <w:rsid w:val="4A4A6F73"/>
    <w:rsid w:val="4C130217"/>
    <w:rsid w:val="4CE03DC6"/>
    <w:rsid w:val="4D0429E5"/>
    <w:rsid w:val="4D8F3AF7"/>
    <w:rsid w:val="4DB57414"/>
    <w:rsid w:val="4FD33566"/>
    <w:rsid w:val="501C6CBB"/>
    <w:rsid w:val="505622BB"/>
    <w:rsid w:val="50A96A4E"/>
    <w:rsid w:val="50E377D9"/>
    <w:rsid w:val="515F51BF"/>
    <w:rsid w:val="51D30B3A"/>
    <w:rsid w:val="51D533B4"/>
    <w:rsid w:val="51D724C5"/>
    <w:rsid w:val="520A4751"/>
    <w:rsid w:val="52BA0CE7"/>
    <w:rsid w:val="532C06D7"/>
    <w:rsid w:val="535E3E2C"/>
    <w:rsid w:val="53664CF7"/>
    <w:rsid w:val="55052414"/>
    <w:rsid w:val="550570DA"/>
    <w:rsid w:val="558461D9"/>
    <w:rsid w:val="558F7C3D"/>
    <w:rsid w:val="55D24225"/>
    <w:rsid w:val="563C5A55"/>
    <w:rsid w:val="569752EE"/>
    <w:rsid w:val="56B83A9F"/>
    <w:rsid w:val="56FE0236"/>
    <w:rsid w:val="575546F8"/>
    <w:rsid w:val="588C0756"/>
    <w:rsid w:val="589B71FE"/>
    <w:rsid w:val="58C86F65"/>
    <w:rsid w:val="592856EA"/>
    <w:rsid w:val="599124C8"/>
    <w:rsid w:val="59C0079C"/>
    <w:rsid w:val="5A2E48FE"/>
    <w:rsid w:val="5AB521E6"/>
    <w:rsid w:val="5AEB4E62"/>
    <w:rsid w:val="5B2566C3"/>
    <w:rsid w:val="5B533C27"/>
    <w:rsid w:val="5B5F04BE"/>
    <w:rsid w:val="5BCC2754"/>
    <w:rsid w:val="5C13439A"/>
    <w:rsid w:val="5D510175"/>
    <w:rsid w:val="5DAC30B8"/>
    <w:rsid w:val="5E0941FD"/>
    <w:rsid w:val="5E714B4B"/>
    <w:rsid w:val="5E9B7A63"/>
    <w:rsid w:val="5EDC519E"/>
    <w:rsid w:val="5F2152BE"/>
    <w:rsid w:val="5F790472"/>
    <w:rsid w:val="5FAB440D"/>
    <w:rsid w:val="609E5A0A"/>
    <w:rsid w:val="61245501"/>
    <w:rsid w:val="61C41F85"/>
    <w:rsid w:val="61F31B65"/>
    <w:rsid w:val="62A873CF"/>
    <w:rsid w:val="62F64A26"/>
    <w:rsid w:val="63124410"/>
    <w:rsid w:val="63971BF0"/>
    <w:rsid w:val="644068B3"/>
    <w:rsid w:val="64F37C70"/>
    <w:rsid w:val="655967F7"/>
    <w:rsid w:val="656A6211"/>
    <w:rsid w:val="65982872"/>
    <w:rsid w:val="65C11764"/>
    <w:rsid w:val="65CC749D"/>
    <w:rsid w:val="65FD2440"/>
    <w:rsid w:val="66285F62"/>
    <w:rsid w:val="662B306A"/>
    <w:rsid w:val="66F03545"/>
    <w:rsid w:val="67610D26"/>
    <w:rsid w:val="6772226E"/>
    <w:rsid w:val="6776587D"/>
    <w:rsid w:val="67790EB3"/>
    <w:rsid w:val="67D74856"/>
    <w:rsid w:val="67DB0DB2"/>
    <w:rsid w:val="67F2493E"/>
    <w:rsid w:val="682269E1"/>
    <w:rsid w:val="68733169"/>
    <w:rsid w:val="689C69F1"/>
    <w:rsid w:val="68CE6441"/>
    <w:rsid w:val="691A63D1"/>
    <w:rsid w:val="69307ACB"/>
    <w:rsid w:val="696F20FA"/>
    <w:rsid w:val="698931BC"/>
    <w:rsid w:val="69DA0EE9"/>
    <w:rsid w:val="6A0C66FA"/>
    <w:rsid w:val="6A4946F9"/>
    <w:rsid w:val="6A9F2FC6"/>
    <w:rsid w:val="6AA36AD3"/>
    <w:rsid w:val="6B284039"/>
    <w:rsid w:val="6B50061A"/>
    <w:rsid w:val="6C1558C9"/>
    <w:rsid w:val="6C4A52D0"/>
    <w:rsid w:val="6C751191"/>
    <w:rsid w:val="6C894CE5"/>
    <w:rsid w:val="6C90639F"/>
    <w:rsid w:val="6D744246"/>
    <w:rsid w:val="6E73617A"/>
    <w:rsid w:val="6E7F6350"/>
    <w:rsid w:val="6E871319"/>
    <w:rsid w:val="6ED42055"/>
    <w:rsid w:val="6F5245B1"/>
    <w:rsid w:val="6F90302E"/>
    <w:rsid w:val="6FC671DF"/>
    <w:rsid w:val="701D437B"/>
    <w:rsid w:val="71974ABB"/>
    <w:rsid w:val="722E2C6B"/>
    <w:rsid w:val="72484CEE"/>
    <w:rsid w:val="72934434"/>
    <w:rsid w:val="73281C56"/>
    <w:rsid w:val="73372296"/>
    <w:rsid w:val="739C1D3D"/>
    <w:rsid w:val="73A81128"/>
    <w:rsid w:val="73E6120B"/>
    <w:rsid w:val="74456E82"/>
    <w:rsid w:val="746217A5"/>
    <w:rsid w:val="7466132F"/>
    <w:rsid w:val="7607361A"/>
    <w:rsid w:val="76645141"/>
    <w:rsid w:val="76EB5AE3"/>
    <w:rsid w:val="772E207D"/>
    <w:rsid w:val="77451D97"/>
    <w:rsid w:val="778525A0"/>
    <w:rsid w:val="77BA7F63"/>
    <w:rsid w:val="77F959B0"/>
    <w:rsid w:val="785726D7"/>
    <w:rsid w:val="789706D7"/>
    <w:rsid w:val="78E51C5C"/>
    <w:rsid w:val="794640E5"/>
    <w:rsid w:val="794B223C"/>
    <w:rsid w:val="799F7E92"/>
    <w:rsid w:val="7A2B7F3A"/>
    <w:rsid w:val="7A4A1B88"/>
    <w:rsid w:val="7A6873EA"/>
    <w:rsid w:val="7A6A4943"/>
    <w:rsid w:val="7B4038F6"/>
    <w:rsid w:val="7B98103C"/>
    <w:rsid w:val="7BA0756B"/>
    <w:rsid w:val="7BAB16CE"/>
    <w:rsid w:val="7BF8609D"/>
    <w:rsid w:val="7C195A3A"/>
    <w:rsid w:val="7D2731DC"/>
    <w:rsid w:val="7DC90EF7"/>
    <w:rsid w:val="7DD30A52"/>
    <w:rsid w:val="7F2856AA"/>
    <w:rsid w:val="7F4C286A"/>
    <w:rsid w:val="7F6D38CC"/>
    <w:rsid w:val="7F982E42"/>
    <w:rsid w:val="7FAD422D"/>
    <w:rsid w:val="7FC31AA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5"/>
    <w:basedOn w:val="1"/>
    <w:next w:val="1"/>
    <w:qFormat/>
    <w:uiPriority w:val="99"/>
    <w:pPr>
      <w:tabs>
        <w:tab w:val="left" w:pos="1128"/>
        <w:tab w:val="left" w:pos="1364"/>
        <w:tab w:val="left" w:pos="2570"/>
      </w:tabs>
      <w:spacing w:line="360" w:lineRule="auto"/>
      <w:jc w:val="center"/>
      <w:outlineLvl w:val="4"/>
    </w:pPr>
    <w:rPr>
      <w:b/>
    </w:rPr>
  </w:style>
  <w:style w:type="character" w:default="1" w:styleId="24">
    <w:name w:val="Default Paragraph Font"/>
    <w:uiPriority w:val="0"/>
  </w:style>
  <w:style w:type="table" w:default="1" w:styleId="22">
    <w:name w:val="Normal Table"/>
    <w:autoRedefine/>
    <w:unhideWhenUsed/>
    <w:qFormat/>
    <w:uiPriority w:val="99"/>
    <w:tblPr>
      <w:tblCellMar>
        <w:top w:w="0" w:type="dxa"/>
        <w:left w:w="108" w:type="dxa"/>
        <w:bottom w:w="0" w:type="dxa"/>
        <w:right w:w="108" w:type="dxa"/>
      </w:tblCellMar>
    </w:tblPr>
  </w:style>
  <w:style w:type="paragraph" w:styleId="3">
    <w:name w:val="List 3"/>
    <w:basedOn w:val="1"/>
    <w:next w:val="1"/>
    <w:autoRedefine/>
    <w:qFormat/>
    <w:uiPriority w:val="0"/>
    <w:pPr>
      <w:autoSpaceDE w:val="0"/>
      <w:autoSpaceDN w:val="0"/>
      <w:adjustRightInd w:val="0"/>
      <w:spacing w:line="288" w:lineRule="auto"/>
      <w:ind w:left="1260" w:hanging="420"/>
      <w:jc w:val="left"/>
      <w:textAlignment w:val="baseline"/>
    </w:pPr>
    <w:rPr>
      <w:kern w:val="0"/>
      <w:sz w:val="24"/>
    </w:rPr>
  </w:style>
  <w:style w:type="paragraph" w:styleId="4">
    <w:name w:val="E-mail Signature"/>
    <w:basedOn w:val="1"/>
    <w:next w:val="5"/>
    <w:autoRedefine/>
    <w:qFormat/>
    <w:uiPriority w:val="0"/>
    <w:pPr>
      <w:spacing w:line="460" w:lineRule="exact"/>
      <w:ind w:firstLine="200"/>
    </w:pPr>
    <w:rPr>
      <w:sz w:val="24"/>
    </w:rPr>
  </w:style>
  <w:style w:type="paragraph" w:customStyle="1" w:styleId="5">
    <w:name w:val="文章"/>
    <w:basedOn w:val="6"/>
    <w:next w:val="7"/>
    <w:autoRedefine/>
    <w:qFormat/>
    <w:uiPriority w:val="0"/>
    <w:pPr>
      <w:widowControl/>
      <w:ind w:firstLine="480"/>
      <w:jc w:val="center"/>
    </w:pPr>
    <w:rPr>
      <w:sz w:val="26"/>
    </w:rPr>
  </w:style>
  <w:style w:type="paragraph" w:styleId="6">
    <w:name w:val="Body Text Indent"/>
    <w:basedOn w:val="1"/>
    <w:autoRedefine/>
    <w:qFormat/>
    <w:uiPriority w:val="0"/>
    <w:pPr>
      <w:spacing w:line="360" w:lineRule="auto"/>
      <w:ind w:firstLine="482" w:firstLineChars="200"/>
    </w:pPr>
    <w:rPr>
      <w:b/>
      <w:bCs/>
      <w:sz w:val="24"/>
    </w:rPr>
  </w:style>
  <w:style w:type="paragraph" w:styleId="7">
    <w:name w:val="List"/>
    <w:basedOn w:val="1"/>
    <w:next w:val="1"/>
    <w:autoRedefine/>
    <w:qFormat/>
    <w:uiPriority w:val="0"/>
    <w:pPr>
      <w:ind w:left="200" w:hanging="200" w:hangingChars="200"/>
    </w:pPr>
  </w:style>
  <w:style w:type="paragraph" w:styleId="8">
    <w:name w:val="Normal Indent"/>
    <w:basedOn w:val="1"/>
    <w:autoRedefine/>
    <w:qFormat/>
    <w:uiPriority w:val="0"/>
    <w:pPr>
      <w:ind w:firstLine="420"/>
    </w:pPr>
    <w:rPr>
      <w:szCs w:val="20"/>
    </w:rPr>
  </w:style>
  <w:style w:type="paragraph" w:styleId="9">
    <w:name w:val="annotation text"/>
    <w:basedOn w:val="1"/>
    <w:next w:val="10"/>
    <w:autoRedefine/>
    <w:qFormat/>
    <w:uiPriority w:val="0"/>
    <w:pPr>
      <w:jc w:val="left"/>
    </w:pPr>
  </w:style>
  <w:style w:type="paragraph" w:styleId="10">
    <w:name w:val="toc 5"/>
    <w:basedOn w:val="1"/>
    <w:next w:val="1"/>
    <w:autoRedefine/>
    <w:qFormat/>
    <w:uiPriority w:val="39"/>
    <w:pPr>
      <w:ind w:left="960"/>
      <w:jc w:val="left"/>
    </w:pPr>
    <w:rPr>
      <w:rFonts w:ascii="Calibri" w:hAnsi="Calibri"/>
      <w:sz w:val="18"/>
      <w:szCs w:val="18"/>
    </w:rPr>
  </w:style>
  <w:style w:type="paragraph" w:styleId="11">
    <w:name w:val="Body Text"/>
    <w:basedOn w:val="1"/>
    <w:autoRedefine/>
    <w:qFormat/>
    <w:uiPriority w:val="0"/>
    <w:pPr>
      <w:widowControl w:val="0"/>
      <w:spacing w:line="580" w:lineRule="exact"/>
      <w:jc w:val="center"/>
    </w:pPr>
    <w:rPr>
      <w:rFonts w:eastAsia="黑体"/>
      <w:sz w:val="44"/>
    </w:rPr>
  </w:style>
  <w:style w:type="paragraph" w:styleId="12">
    <w:name w:val="List Bullet 2"/>
    <w:basedOn w:val="1"/>
    <w:next w:val="13"/>
    <w:autoRedefine/>
    <w:qFormat/>
    <w:uiPriority w:val="0"/>
    <w:pPr>
      <w:numPr>
        <w:ilvl w:val="0"/>
        <w:numId w:val="1"/>
      </w:numPr>
    </w:pPr>
  </w:style>
  <w:style w:type="paragraph" w:customStyle="1" w:styleId="13">
    <w:name w:val="xl70"/>
    <w:basedOn w:val="1"/>
    <w:next w:val="14"/>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4">
    <w:name w:val="正文缩进1"/>
    <w:basedOn w:val="8"/>
    <w:next w:val="15"/>
    <w:autoRedefine/>
    <w:qFormat/>
    <w:uiPriority w:val="0"/>
    <w:pPr>
      <w:ind w:firstLine="420"/>
    </w:pPr>
  </w:style>
  <w:style w:type="paragraph" w:customStyle="1" w:styleId="15">
    <w:name w:val="td1"/>
    <w:basedOn w:val="1"/>
    <w:next w:val="1"/>
    <w:autoRedefine/>
    <w:qFormat/>
    <w:uiPriority w:val="0"/>
    <w:pPr>
      <w:widowControl/>
      <w:spacing w:before="280" w:after="280" w:line="300" w:lineRule="atLeast"/>
      <w:ind w:firstLine="200"/>
    </w:pPr>
    <w:rPr>
      <w:color w:val="000000"/>
      <w:sz w:val="18"/>
    </w:rPr>
  </w:style>
  <w:style w:type="paragraph" w:styleId="16">
    <w:name w:val="Plain Text"/>
    <w:basedOn w:val="1"/>
    <w:autoRedefine/>
    <w:qFormat/>
    <w:uiPriority w:val="0"/>
    <w:rPr>
      <w:rFonts w:ascii="宋体" w:hAnsi="Courier New"/>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9">
    <w:name w:val="toc 2"/>
    <w:basedOn w:val="1"/>
    <w:next w:val="1"/>
    <w:autoRedefine/>
    <w:qFormat/>
    <w:uiPriority w:val="0"/>
    <w:pPr>
      <w:ind w:left="240"/>
      <w:jc w:val="left"/>
    </w:pPr>
    <w:rPr>
      <w:rFonts w:ascii="Times New Roman" w:hAnsi="Times New Roman"/>
      <w:smallCaps/>
      <w:sz w:val="20"/>
      <w:szCs w:val="20"/>
    </w:rPr>
  </w:style>
  <w:style w:type="paragraph" w:styleId="20">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21">
    <w:name w:val="Body Text First Indent 2"/>
    <w:basedOn w:val="6"/>
    <w:autoRedefine/>
    <w:qFormat/>
    <w:uiPriority w:val="0"/>
    <w:pPr>
      <w:spacing w:after="120" w:afterLines="0" w:line="240" w:lineRule="auto"/>
      <w:ind w:left="420" w:leftChars="200" w:firstLine="420"/>
    </w:pPr>
    <w:rPr>
      <w:b w:val="0"/>
      <w:bCs w:val="0"/>
      <w:sz w:val="21"/>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autoRedefine/>
    <w:qFormat/>
    <w:uiPriority w:val="0"/>
  </w:style>
  <w:style w:type="character" w:styleId="26">
    <w:name w:val="FollowedHyperlink"/>
    <w:basedOn w:val="24"/>
    <w:autoRedefine/>
    <w:qFormat/>
    <w:uiPriority w:val="0"/>
    <w:rPr>
      <w:color w:val="333333"/>
      <w:u w:val="none"/>
    </w:rPr>
  </w:style>
  <w:style w:type="character" w:styleId="27">
    <w:name w:val="HTML Acronym"/>
    <w:basedOn w:val="24"/>
    <w:autoRedefine/>
    <w:qFormat/>
    <w:uiPriority w:val="0"/>
  </w:style>
  <w:style w:type="character" w:styleId="28">
    <w:name w:val="Hyperlink"/>
    <w:basedOn w:val="24"/>
    <w:autoRedefine/>
    <w:qFormat/>
    <w:uiPriority w:val="0"/>
    <w:rPr>
      <w:color w:val="333333"/>
      <w:u w:val="none"/>
    </w:rPr>
  </w:style>
  <w:style w:type="paragraph" w:customStyle="1" w:styleId="29">
    <w:name w:val="Default"/>
    <w:basedOn w:val="30"/>
    <w:next w:val="3"/>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0">
    <w:name w:val="纯文本1"/>
    <w:basedOn w:val="1"/>
    <w:autoRedefine/>
    <w:qFormat/>
    <w:uiPriority w:val="0"/>
    <w:pPr>
      <w:adjustRightInd w:val="0"/>
      <w:ind w:firstLine="0"/>
      <w:jc w:val="center"/>
      <w:textAlignment w:val="baseline"/>
    </w:pPr>
    <w:rPr>
      <w:rFonts w:ascii="宋体" w:hAnsi="Courier New"/>
    </w:rPr>
  </w:style>
  <w:style w:type="paragraph" w:customStyle="1" w:styleId="31">
    <w:name w:val="样式35"/>
    <w:basedOn w:val="32"/>
    <w:next w:val="37"/>
    <w:autoRedefine/>
    <w:qFormat/>
    <w:uiPriority w:val="0"/>
    <w:pPr>
      <w:tabs>
        <w:tab w:val="left" w:pos="0"/>
        <w:tab w:val="left" w:pos="360"/>
        <w:tab w:val="left" w:pos="540"/>
        <w:tab w:val="left" w:pos="567"/>
        <w:tab w:val="left" w:pos="720"/>
        <w:tab w:val="left" w:pos="1008"/>
        <w:tab w:val="left" w:pos="2570"/>
        <w:tab w:val="left" w:pos="4140"/>
      </w:tabs>
      <w:adjustRightInd w:val="0"/>
      <w:spacing w:line="360" w:lineRule="auto"/>
      <w:ind w:firstLine="0" w:firstLineChars="0"/>
      <w:textAlignment w:val="baseline"/>
    </w:pPr>
    <w:rPr>
      <w:rFonts w:ascii="Times New Roman" w:hAnsi="Times New Roman" w:eastAsia="宋体"/>
      <w:kern w:val="0"/>
      <w:sz w:val="24"/>
    </w:rPr>
  </w:style>
  <w:style w:type="paragraph" w:customStyle="1" w:styleId="32">
    <w:name w:val="样式26"/>
    <w:basedOn w:val="33"/>
    <w:autoRedefine/>
    <w:qFormat/>
    <w:uiPriority w:val="0"/>
    <w:pPr>
      <w:tabs>
        <w:tab w:val="left" w:pos="0"/>
        <w:tab w:val="left" w:pos="360"/>
        <w:tab w:val="left" w:pos="540"/>
        <w:tab w:val="left" w:pos="567"/>
        <w:tab w:val="left" w:pos="720"/>
        <w:tab w:val="left" w:pos="1008"/>
        <w:tab w:val="left" w:pos="2570"/>
        <w:tab w:val="left" w:pos="4140"/>
      </w:tabs>
    </w:pPr>
  </w:style>
  <w:style w:type="paragraph" w:customStyle="1" w:styleId="33">
    <w:name w:val="样式21"/>
    <w:basedOn w:val="34"/>
    <w:autoRedefine/>
    <w:qFormat/>
    <w:uiPriority w:val="0"/>
    <w:pPr>
      <w:tabs>
        <w:tab w:val="left" w:pos="360"/>
        <w:tab w:val="left" w:pos="540"/>
        <w:tab w:val="left" w:pos="720"/>
        <w:tab w:val="left" w:pos="1008"/>
        <w:tab w:val="left" w:pos="2570"/>
        <w:tab w:val="left" w:pos="4140"/>
      </w:tabs>
      <w:spacing w:before="120" w:beforeLines="50" w:after="120" w:afterLines="50" w:line="360" w:lineRule="auto"/>
      <w:ind w:left="720" w:hanging="720"/>
      <w:outlineLvl w:val="2"/>
    </w:pPr>
    <w:rPr>
      <w:rFonts w:eastAsia="MS Mincho"/>
      <w:kern w:val="0"/>
      <w:sz w:val="24"/>
      <w:szCs w:val="32"/>
    </w:rPr>
  </w:style>
  <w:style w:type="paragraph" w:customStyle="1" w:styleId="34">
    <w:name w:val="样式5"/>
    <w:basedOn w:val="35"/>
    <w:autoRedefine/>
    <w:qFormat/>
    <w:uiPriority w:val="0"/>
    <w:pPr>
      <w:tabs>
        <w:tab w:val="left" w:pos="1008"/>
        <w:tab w:val="left" w:pos="2570"/>
        <w:tab w:val="left" w:pos="4140"/>
      </w:tabs>
      <w:ind w:left="482" w:firstLine="0" w:firstLineChars="0"/>
    </w:pPr>
    <w:rPr>
      <w:rFonts w:eastAsia="仿宋_GB2312"/>
      <w:b w:val="0"/>
    </w:rPr>
  </w:style>
  <w:style w:type="paragraph" w:customStyle="1" w:styleId="35">
    <w:name w:val="样式12"/>
    <w:basedOn w:val="36"/>
    <w:autoRedefine/>
    <w:qFormat/>
    <w:uiPriority w:val="0"/>
    <w:pPr>
      <w:tabs>
        <w:tab w:val="left" w:pos="1008"/>
        <w:tab w:val="left" w:pos="2570"/>
        <w:tab w:val="left" w:pos="4140"/>
      </w:tabs>
      <w:ind w:firstLine="200" w:firstLineChars="200"/>
    </w:pPr>
    <w:rPr>
      <w:rFonts w:eastAsia="宋体"/>
    </w:rPr>
  </w:style>
  <w:style w:type="paragraph" w:customStyle="1" w:styleId="36">
    <w:name w:val="样式 标题 3标题 3 Char标题3H3h33rd level第二层条三级标题ReHead 3 WSA头..."/>
    <w:autoRedefine/>
    <w:qFormat/>
    <w:uiPriority w:val="0"/>
    <w:pPr>
      <w:widowControl w:val="0"/>
      <w:numPr>
        <w:ilvl w:val="2"/>
        <w:numId w:val="2"/>
      </w:numPr>
      <w:tabs>
        <w:tab w:val="left" w:pos="4140"/>
      </w:tabs>
      <w:spacing w:line="360" w:lineRule="auto"/>
      <w:ind w:left="4140" w:firstLine="0"/>
      <w:outlineLvl w:val="2"/>
    </w:pPr>
    <w:rPr>
      <w:rFonts w:hint="eastAsia" w:ascii="Calibri" w:hAnsi="Calibri" w:eastAsia="黑体" w:cs="Times New Roman"/>
      <w:b/>
      <w:color w:val="FF0000"/>
      <w:sz w:val="30"/>
      <w:szCs w:val="27"/>
      <w:lang w:val="en-US" w:eastAsia="zh-CN" w:bidi="ar-SA"/>
    </w:rPr>
  </w:style>
  <w:style w:type="paragraph" w:customStyle="1" w:styleId="37">
    <w:name w:val="font6"/>
    <w:next w:val="19"/>
    <w:autoRedefine/>
    <w:qFormat/>
    <w:uiPriority w:val="0"/>
    <w:pPr>
      <w:spacing w:before="280" w:after="280"/>
      <w:jc w:val="both"/>
    </w:pPr>
    <w:rPr>
      <w:rFonts w:ascii="Calibri" w:hAnsi="Calibri" w:eastAsia="宋体" w:cs="Times New Roman"/>
      <w:kern w:val="2"/>
      <w:sz w:val="21"/>
      <w:szCs w:val="22"/>
      <w:lang w:val="en-US" w:eastAsia="zh-CN" w:bidi="ar-SA"/>
    </w:rPr>
  </w:style>
  <w:style w:type="paragraph" w:customStyle="1" w:styleId="38">
    <w:name w:val="TOC 2"/>
    <w:basedOn w:val="1"/>
    <w:next w:val="1"/>
    <w:autoRedefine/>
    <w:qFormat/>
    <w:uiPriority w:val="0"/>
    <w:pPr>
      <w:tabs>
        <w:tab w:val="right" w:leader="dot" w:pos="9060"/>
      </w:tabs>
      <w:spacing w:line="360" w:lineRule="auto"/>
      <w:ind w:left="420" w:leftChars="200"/>
    </w:pPr>
  </w:style>
  <w:style w:type="character" w:customStyle="1" w:styleId="39">
    <w:name w:val="msg-box8"/>
    <w:basedOn w:val="24"/>
    <w:autoRedefine/>
    <w:qFormat/>
    <w:uiPriority w:val="0"/>
  </w:style>
  <w:style w:type="character" w:customStyle="1" w:styleId="40">
    <w:name w:val="num24"/>
    <w:basedOn w:val="24"/>
    <w:autoRedefine/>
    <w:qFormat/>
    <w:uiPriority w:val="0"/>
    <w:rPr>
      <w:rFonts w:ascii="寰蒋闆呴粦" w:hAnsi="寰蒋闆呴粦" w:eastAsia="寰蒋闆呴粦" w:cs="寰蒋闆呴粦"/>
      <w:color w:val="999999"/>
    </w:rPr>
  </w:style>
  <w:style w:type="character" w:customStyle="1" w:styleId="41">
    <w:name w:val="bsharetext"/>
    <w:basedOn w:val="24"/>
    <w:autoRedefine/>
    <w:qFormat/>
    <w:uiPriority w:val="0"/>
  </w:style>
  <w:style w:type="character" w:customStyle="1" w:styleId="42">
    <w:name w:val="c1"/>
    <w:basedOn w:val="24"/>
    <w:autoRedefine/>
    <w:qFormat/>
    <w:uiPriority w:val="0"/>
  </w:style>
  <w:style w:type="character" w:customStyle="1" w:styleId="43">
    <w:name w:val="c2"/>
    <w:basedOn w:val="24"/>
    <w:autoRedefine/>
    <w:qFormat/>
    <w:uiPriority w:val="0"/>
  </w:style>
  <w:style w:type="character" w:customStyle="1" w:styleId="44">
    <w:name w:val="video-hit"/>
    <w:basedOn w:val="24"/>
    <w:autoRedefine/>
    <w:qFormat/>
    <w:uiPriority w:val="0"/>
  </w:style>
  <w:style w:type="character" w:customStyle="1" w:styleId="45">
    <w:name w:val="img-title"/>
    <w:basedOn w:val="24"/>
    <w:autoRedefine/>
    <w:qFormat/>
    <w:uiPriority w:val="0"/>
    <w:rPr>
      <w:vanish/>
    </w:rPr>
  </w:style>
  <w:style w:type="character" w:customStyle="1" w:styleId="46">
    <w:name w:val="name6"/>
    <w:basedOn w:val="24"/>
    <w:autoRedefine/>
    <w:qFormat/>
    <w:uiPriority w:val="0"/>
  </w:style>
  <w:style w:type="character" w:customStyle="1" w:styleId="47">
    <w:name w:val="c3"/>
    <w:basedOn w:val="24"/>
    <w:autoRedefine/>
    <w:qFormat/>
    <w:uiPriority w:val="0"/>
  </w:style>
  <w:style w:type="paragraph" w:customStyle="1" w:styleId="48">
    <w:name w:val="Default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9">
    <w:name w:val=" Char"/>
    <w:basedOn w:val="1"/>
    <w:autoRedefine/>
    <w:qFormat/>
    <w:uiPriority w:val="0"/>
    <w:pPr>
      <w:adjustRightInd/>
      <w:jc w:val="both"/>
      <w:textAlignment w:val="auto"/>
    </w:pPr>
  </w:style>
  <w:style w:type="paragraph" w:customStyle="1" w:styleId="50">
    <w:name w:val="正文·"/>
    <w:basedOn w:val="1"/>
    <w:autoRedefine/>
    <w:qFormat/>
    <w:uiPriority w:val="0"/>
    <w:pPr>
      <w:ind w:firstLine="48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4453;&#20986;&#25991;&#20214;\75&#20851;&#20110;&#24449;&#27714;&#22269;&#36947;G234&#32447;&#38451;&#26149;&#24066;&#26149;&#22478;&#40654;&#28246;&#33267;&#19971;&#26143;&#27573;&#25913;&#32447;&#24037;&#31243;&#26045;&#24037;&#22270;&#35774;&#35745;&#26041;&#26696;&#24847;&#35265;&#30340;&#20989;\Normal.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Normal.wpt</Template>
  <Pages>4</Pages>
  <Words>1669</Words>
  <Characters>1785</Characters>
  <Lines>12</Lines>
  <Paragraphs>3</Paragraphs>
  <TotalTime>0</TotalTime>
  <ScaleCrop>false</ScaleCrop>
  <LinksUpToDate>false</LinksUpToDate>
  <CharactersWithSpaces>1810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2019-08-28T08:49:00Z</dcterms:created>
  <dc:creator>梁肇辉</dc:creator>
  <cp:lastModifiedBy>小梁</cp:lastModifiedBy>
  <cp:lastPrinted>2026-02-05T07:29:00Z</cp:lastPrinted>
  <dcterms:modified xsi:type="dcterms:W3CDTF">2026-03-13T07:00:41Z</dcterms:modified>
  <dc:title>阳环（春）建审〔2019〕  号</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547D5AF5782347AAB60781FDC4EF559D_13</vt:lpwstr>
  </property>
  <property fmtid="{D5CDD505-2E9C-101B-9397-08002B2CF9AE}" pid="4" name="KSOTemplateDocerSaveRecord">
    <vt:lpwstr>eyJoZGlkIjoiZmIxNDBkMWQ4ODgwZGJjMTZkMmY4NzM3ZTI2ODdhZDYiLCJ1c2VySWQiOiIxMjEyMjg3Mjk3In0=</vt:lpwstr>
  </property>
</Properties>
</file>