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579" w:lineRule="exact"/>
        <w:ind w:firstLine="640" w:firstLineChars="200"/>
        <w:rPr>
          <w:rFonts w:eastAsia="方正仿宋简体"/>
          <w:sz w:val="32"/>
          <w:szCs w:val="32"/>
        </w:rPr>
      </w:pPr>
      <w:permStart w:id="0" w:edGrp="everyone"/>
      <w:permEnd w:id="0"/>
    </w:p>
    <w:p>
      <w:pPr>
        <w:pStyle w:val="38"/>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eastAsia="方正仿宋简体"/>
          <w:sz w:val="32"/>
          <w:szCs w:val="32"/>
        </w:rPr>
      </w:pPr>
      <w:r>
        <w:rPr>
          <w:rFonts w:eastAsia="方正仿宋简体"/>
          <w:sz w:val="32"/>
          <w:szCs w:val="32"/>
        </w:rPr>
        <w:t>阳环（春）建审〔202</w:t>
      </w:r>
      <w:r>
        <w:rPr>
          <w:rFonts w:hint="eastAsia" w:eastAsia="方正仿宋简体"/>
          <w:sz w:val="32"/>
          <w:szCs w:val="32"/>
          <w:lang w:val="en-US" w:eastAsia="zh-CN"/>
        </w:rPr>
        <w:t>6</w:t>
      </w:r>
      <w:r>
        <w:rPr>
          <w:rFonts w:eastAsia="方正仿宋简体"/>
          <w:sz w:val="32"/>
          <w:szCs w:val="32"/>
        </w:rPr>
        <w:t>〕</w:t>
      </w:r>
      <w:r>
        <w:rPr>
          <w:rFonts w:hint="eastAsia" w:eastAsia="方正仿宋简体"/>
          <w:sz w:val="32"/>
          <w:szCs w:val="32"/>
          <w:lang w:val="en-US" w:eastAsia="zh-CN"/>
        </w:rPr>
        <w:t>2</w:t>
      </w:r>
      <w:r>
        <w:rPr>
          <w:rFonts w:eastAsia="方正仿宋简体"/>
          <w:sz w:val="32"/>
          <w:szCs w:val="32"/>
        </w:rPr>
        <w:t>号</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eastAsia="方正仿宋简体"/>
          <w:sz w:val="32"/>
          <w:szCs w:val="32"/>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eastAsia="方正小标宋简体"/>
          <w:sz w:val="40"/>
          <w:szCs w:val="40"/>
          <w:lang w:eastAsia="zh-CN"/>
        </w:rPr>
      </w:pPr>
      <w:bookmarkStart w:id="0" w:name="OLE_LINK5"/>
      <w:r>
        <w:rPr>
          <w:rFonts w:hint="eastAsia" w:ascii="方正小标宋简体" w:eastAsia="方正小标宋简体"/>
          <w:sz w:val="40"/>
          <w:szCs w:val="40"/>
        </w:rPr>
        <w:t>阳江市生态环境局关于</w:t>
      </w:r>
      <w:r>
        <w:rPr>
          <w:rFonts w:hint="eastAsia" w:ascii="方正小标宋简体" w:eastAsia="方正小标宋简体"/>
          <w:sz w:val="40"/>
          <w:szCs w:val="40"/>
          <w:lang w:eastAsia="zh-CN"/>
        </w:rPr>
        <w:t>阳春市人民医院医共体</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eastAsia="方正小标宋简体"/>
          <w:sz w:val="40"/>
          <w:szCs w:val="40"/>
        </w:rPr>
      </w:pPr>
      <w:r>
        <w:rPr>
          <w:rFonts w:hint="eastAsia" w:ascii="方正小标宋简体" w:eastAsia="方正小标宋简体"/>
          <w:sz w:val="40"/>
          <w:szCs w:val="40"/>
          <w:lang w:eastAsia="zh-CN"/>
        </w:rPr>
        <w:t>（城南）迁建项目</w:t>
      </w:r>
      <w:r>
        <w:rPr>
          <w:rFonts w:hint="eastAsia" w:ascii="方正小标宋简体" w:eastAsia="方正小标宋简体"/>
          <w:sz w:val="40"/>
          <w:szCs w:val="40"/>
        </w:rPr>
        <w:t>环境影响报告表的批复</w:t>
      </w:r>
    </w:p>
    <w:bookmarkEnd w:id="0"/>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eastAsia="方正仿宋简体"/>
          <w:sz w:val="32"/>
          <w:szCs w:val="32"/>
        </w:rPr>
      </w:pPr>
      <w:bookmarkStart w:id="2" w:name="_GoBack"/>
      <w:bookmarkEnd w:id="2"/>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阳春市城南社区卫生服务中心</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bidi w:val="0"/>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你单位报批的《</w:t>
      </w:r>
      <w:r>
        <w:rPr>
          <w:rFonts w:hint="eastAsia" w:ascii="仿宋_GB2312" w:hAnsi="仿宋_GB2312" w:eastAsia="仿宋_GB2312" w:cs="仿宋_GB2312"/>
          <w:sz w:val="32"/>
          <w:szCs w:val="32"/>
          <w:lang w:eastAsia="zh-CN"/>
        </w:rPr>
        <w:t>阳春市人民医院医共体（城南）迁建项目</w:t>
      </w:r>
      <w:r>
        <w:rPr>
          <w:rFonts w:hint="eastAsia" w:ascii="仿宋_GB2312" w:hAnsi="仿宋_GB2312" w:eastAsia="仿宋_GB2312" w:cs="仿宋_GB2312"/>
          <w:sz w:val="32"/>
          <w:szCs w:val="32"/>
        </w:rPr>
        <w:t>环境影响报告表》（以下简称《报告表》）等材料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收悉。经研究，现根据《中华人民共和国环境保护法》、《中华人民共和国环境影响评价法》，批复如下：</w:t>
      </w:r>
    </w:p>
    <w:p>
      <w:pPr>
        <w:pStyle w:val="29"/>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一、项目位于阳春市春城街道春江大道北侧YV-CNSQ-01地块，中心地理坐标为东经111°45′57.686”,北纬22°9' 39.397”。项目总投资11000万元，其中环保投资110万元,占地面积为9365.56m², 建筑面积为10600m², 拟建一幢5层的门诊住院综合楼、一幢1层的发热门诊，一幢1层的附属用房，以及所需附属设施和配套设备一批。项目设置92张床位，日门诊量为60人。</w:t>
      </w:r>
    </w:p>
    <w:p>
      <w:pPr>
        <w:pStyle w:val="29"/>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项目医护人员为120人，三班制，24h/d,设有食堂，为医护人员及住院病人提供用餐，年工作365天。</w:t>
      </w:r>
    </w:p>
    <w:p>
      <w:pPr>
        <w:pStyle w:val="29"/>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二、</w:t>
      </w:r>
      <w:r>
        <w:rPr>
          <w:rFonts w:hint="eastAsia" w:ascii="仿宋_GB2312" w:hAnsi="仿宋_GB2312" w:eastAsia="仿宋_GB2312" w:cs="仿宋_GB2312"/>
          <w:sz w:val="32"/>
          <w:szCs w:val="32"/>
        </w:rPr>
        <w:t>根据《报告表》的评价结论，在全面落实《报告表》提出的各项污染防治和环境风险防范措施，并确保各类污染物稳定达标排放且符合总量控制要求的前提下，项目按照《报告表》中所列性质、规模、地点、采用的生产工艺和防治污染、防止生态破坏的措施进行建设，从环境</w:t>
      </w:r>
      <w:r>
        <w:rPr>
          <w:rFonts w:hint="eastAsia" w:ascii="仿宋_GB2312" w:hAnsi="仿宋_GB2312" w:eastAsia="仿宋_GB2312" w:cs="仿宋_GB2312"/>
          <w:sz w:val="32"/>
          <w:szCs w:val="32"/>
          <w:lang w:eastAsia="zh-CN"/>
        </w:rPr>
        <w:t>影响</w:t>
      </w:r>
      <w:r>
        <w:rPr>
          <w:rFonts w:hint="eastAsia" w:ascii="仿宋_GB2312" w:hAnsi="仿宋_GB2312" w:eastAsia="仿宋_GB2312" w:cs="仿宋_GB2312"/>
          <w:sz w:val="32"/>
          <w:szCs w:val="32"/>
        </w:rPr>
        <w:t>角度</w:t>
      </w:r>
      <w:r>
        <w:rPr>
          <w:rFonts w:hint="eastAsia" w:ascii="仿宋_GB2312" w:hAnsi="仿宋_GB2312" w:eastAsia="仿宋_GB2312" w:cs="仿宋_GB2312"/>
          <w:sz w:val="32"/>
          <w:szCs w:val="32"/>
          <w:lang w:eastAsia="zh-CN"/>
        </w:rPr>
        <w:t>看</w:t>
      </w:r>
      <w:r>
        <w:rPr>
          <w:rFonts w:hint="eastAsia" w:ascii="仿宋_GB2312" w:hAnsi="仿宋_GB2312" w:eastAsia="仿宋_GB2312" w:cs="仿宋_GB2312"/>
          <w:sz w:val="32"/>
          <w:szCs w:val="32"/>
        </w:rPr>
        <w:t>可行。经阳江市生态环境局阳春分局局务会集体研究决定，原则</w:t>
      </w:r>
      <w:r>
        <w:rPr>
          <w:rFonts w:hint="eastAsia" w:ascii="仿宋_GB2312" w:hAnsi="仿宋_GB2312" w:eastAsia="仿宋_GB2312" w:cs="仿宋_GB2312"/>
          <w:sz w:val="32"/>
          <w:szCs w:val="32"/>
          <w:lang w:eastAsia="zh-CN"/>
        </w:rPr>
        <w:t>上</w:t>
      </w:r>
      <w:r>
        <w:rPr>
          <w:rFonts w:hint="eastAsia" w:ascii="仿宋_GB2312" w:hAnsi="仿宋_GB2312" w:eastAsia="仿宋_GB2312" w:cs="仿宋_GB2312"/>
          <w:sz w:val="32"/>
          <w:szCs w:val="32"/>
        </w:rPr>
        <w:t xml:space="preserve">通过对《报告表》的审查。你单位应按照《报告表》内容组织实施。项目建设和运营中还应重点做好以下工作: </w:t>
      </w:r>
    </w:p>
    <w:p>
      <w:pPr>
        <w:pStyle w:val="29"/>
        <w:keepNext w:val="0"/>
        <w:keepLines w:val="0"/>
        <w:pageBreakBefore w:val="0"/>
        <w:widowControl w:val="0"/>
        <w:kinsoku/>
        <w:wordWrap/>
        <w:overflowPunct/>
        <w:topLinePunct w:val="0"/>
        <w:autoSpaceDE w:val="0"/>
        <w:autoSpaceDN w:val="0"/>
        <w:bidi w:val="0"/>
        <w:adjustRightInd w:val="0"/>
        <w:snapToGrid/>
        <w:spacing w:line="600" w:lineRule="exact"/>
        <w:ind w:firstLine="640" w:firstLineChars="200"/>
        <w:jc w:val="both"/>
        <w:textAlignment w:val="baseline"/>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rPr>
        <w:t>（一）严格落实大气污染防治措施。</w:t>
      </w:r>
      <w:r>
        <w:rPr>
          <w:rFonts w:hint="eastAsia" w:ascii="仿宋_GB2312" w:hAnsi="仿宋_GB2312" w:eastAsia="仿宋_GB2312" w:cs="仿宋_GB2312"/>
          <w:sz w:val="32"/>
          <w:szCs w:val="32"/>
          <w:lang w:val="zh-CN" w:eastAsia="zh-CN"/>
        </w:rPr>
        <w:t>项目污水处理站臭气通过加盖、配备臭气收集管道收集后，经活性炭吸附处理达标后引至15m排气筒(DA001)高空排放，氨、硫化氢、臭气浓度有组织排放执行《恶臭污染物排放标准》(GB14544-93)表2恶臭污染物排放标准限值，无组织氨、硫化氢、臭气浓度、氯气、甲烷排放执行《医疗机构水污染物排放标准》(GB18466-2005)表3污水处理站周边大气污染物最高允许浓度；备用发电机废气经25m排气筒(DA002)排放，二氧化硫、氮氧化物、颗粒物排放浓度执行广东省地方标准《大气污染物排放限值》(DB44/27-2001)第二时段二级标准；食堂厨房油烟经油烟净化器处理后通过楼顶25m高排气筒(DA003)排放，油烟排放执行《饮食业油烟排放标准(试行)》(GB18483-2001)的表2中型规模标准；医疗废物暂存间及煎药房产生的臭气浓度无组织排放执行《恶臭污染物排放标准》(GB14544-93)表1恶臭污染物厂界标准值；停车场汽车尾气执行广东省地方标准《大气污染物排放限值》(DB44/27-2001)第二时段无组织排放监控点浓度限值要求。</w:t>
      </w:r>
    </w:p>
    <w:p>
      <w:pPr>
        <w:pStyle w:val="3"/>
        <w:ind w:left="0" w:leftChars="0" w:firstLine="640" w:firstLineChars="200"/>
        <w:rPr>
          <w:rFonts w:hint="eastAsia" w:ascii="仿宋_GB2312" w:hAnsi="仿宋_GB2312" w:eastAsia="仿宋_GB2312" w:cs="仿宋_GB2312"/>
          <w:color w:val="000000"/>
          <w:kern w:val="2"/>
          <w:sz w:val="32"/>
          <w:szCs w:val="32"/>
          <w:lang w:val="zh-CN" w:eastAsia="zh-CN" w:bidi="ar-SA"/>
        </w:rPr>
      </w:pPr>
      <w:r>
        <w:rPr>
          <w:rFonts w:hint="eastAsia" w:ascii="仿宋_GB2312" w:hAnsi="仿宋_GB2312" w:eastAsia="仿宋_GB2312" w:cs="仿宋_GB2312"/>
          <w:color w:val="000000"/>
          <w:kern w:val="2"/>
          <w:sz w:val="32"/>
          <w:szCs w:val="32"/>
          <w:lang w:val="zh-CN" w:eastAsia="zh-CN" w:bidi="ar-SA"/>
        </w:rPr>
        <w:t>本项目</w:t>
      </w:r>
      <w:bookmarkStart w:id="1" w:name="OLE_LINK2"/>
      <w:r>
        <w:rPr>
          <w:rFonts w:hint="eastAsia" w:ascii="仿宋_GB2312" w:hAnsi="仿宋_GB2312" w:eastAsia="仿宋_GB2312" w:cs="仿宋_GB2312"/>
          <w:color w:val="000000"/>
          <w:kern w:val="2"/>
          <w:sz w:val="32"/>
          <w:szCs w:val="32"/>
          <w:lang w:val="zh-CN" w:eastAsia="zh-CN" w:bidi="ar-SA"/>
        </w:rPr>
        <w:t>NO</w:t>
      </w:r>
      <w:r>
        <w:rPr>
          <w:rFonts w:hint="eastAsia" w:ascii="仿宋_GB2312" w:hAnsi="仿宋_GB2312" w:eastAsia="仿宋_GB2312" w:cs="仿宋_GB2312"/>
          <w:color w:val="000000"/>
          <w:kern w:val="2"/>
          <w:sz w:val="32"/>
          <w:szCs w:val="32"/>
          <w:vertAlign w:val="subscript"/>
          <w:lang w:val="zh-CN" w:eastAsia="zh-CN" w:bidi="ar-SA"/>
        </w:rPr>
        <w:t>X</w:t>
      </w:r>
      <w:r>
        <w:rPr>
          <w:rFonts w:hint="eastAsia" w:ascii="仿宋_GB2312" w:hAnsi="仿宋_GB2312" w:eastAsia="仿宋_GB2312" w:cs="仿宋_GB2312"/>
          <w:color w:val="000000"/>
          <w:kern w:val="2"/>
          <w:sz w:val="32"/>
          <w:szCs w:val="32"/>
          <w:lang w:val="zh-CN" w:eastAsia="zh-CN" w:bidi="ar-SA"/>
        </w:rPr>
        <w:t>排放量应控制在0.0101t/a以内</w:t>
      </w:r>
      <w:bookmarkEnd w:id="1"/>
      <w:r>
        <w:rPr>
          <w:rFonts w:hint="eastAsia" w:ascii="仿宋_GB2312" w:hAnsi="仿宋_GB2312" w:eastAsia="仿宋_GB2312" w:cs="仿宋_GB2312"/>
          <w:color w:val="000000"/>
          <w:kern w:val="2"/>
          <w:sz w:val="32"/>
          <w:szCs w:val="32"/>
          <w:lang w:val="zh-CN" w:eastAsia="zh-CN" w:bidi="ar-SA"/>
        </w:rPr>
        <w:t>（其中有组织排放量为0.0075t/a，无组织排放量为0.0026t/a）。</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严格落实水污染防治措施。项目须按照“雨污分流、循环用水”的原则设置给排水系统。</w:t>
      </w:r>
      <w:r>
        <w:rPr>
          <w:rFonts w:hint="eastAsia" w:ascii="仿宋_GB2312" w:hAnsi="仿宋_GB2312" w:eastAsia="仿宋_GB2312" w:cs="仿宋_GB2312"/>
          <w:sz w:val="32"/>
          <w:szCs w:val="32"/>
          <w:lang w:val="en-US" w:eastAsia="zh-CN"/>
        </w:rPr>
        <w:t>项目产生的食堂废水经隔油池预处理，医疗废水经化粪池预处理，再经自建污水处理站(处理工艺：格栅一调节池-A/0(水解酸化池+接触氧化池)-MBR- 消毒(次氯酸钠)), 外排综合废水处理达到《医疗机构水污染物排放标准》 (GB18466-2005)表2预处理标准及阳春市城区污水处理厂进水水质标准两者较严值要求后，排入市政管网引至阳春市城区污水处理厂进一步处理。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严格落实噪声污染防治措施。项目应对噪声源采取适当降噪、墙体隔音、减振、吸声、消音等治理措施，场界</w:t>
      </w:r>
      <w:r>
        <w:rPr>
          <w:rFonts w:hint="eastAsia" w:ascii="仿宋_GB2312" w:hAnsi="仿宋_GB2312" w:eastAsia="仿宋_GB2312" w:cs="仿宋_GB2312"/>
          <w:sz w:val="32"/>
          <w:szCs w:val="32"/>
          <w:lang w:eastAsia="zh-CN"/>
        </w:rPr>
        <w:t>噪声</w:t>
      </w:r>
      <w:r>
        <w:rPr>
          <w:rFonts w:hint="eastAsia" w:ascii="仿宋_GB2312" w:hAnsi="仿宋_GB2312" w:eastAsia="仿宋_GB2312" w:cs="仿宋_GB2312"/>
          <w:sz w:val="32"/>
          <w:szCs w:val="32"/>
        </w:rPr>
        <w:t>《工业企业厂界环境噪声排放标准》（GB12348-2008）中</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类标准，即昼间≤</w:t>
      </w:r>
      <w:r>
        <w:rPr>
          <w:rFonts w:hint="eastAsia" w:ascii="仿宋_GB2312" w:hAnsi="仿宋_GB2312" w:eastAsia="仿宋_GB2312" w:cs="仿宋_GB2312"/>
          <w:sz w:val="32"/>
          <w:szCs w:val="32"/>
          <w:lang w:val="en-US" w:eastAsia="zh-CN"/>
        </w:rPr>
        <w:t>60</w:t>
      </w:r>
      <w:r>
        <w:rPr>
          <w:rFonts w:hint="eastAsia" w:ascii="仿宋_GB2312" w:hAnsi="仿宋_GB2312" w:eastAsia="仿宋_GB2312" w:cs="仿宋_GB2312"/>
          <w:sz w:val="32"/>
          <w:szCs w:val="32"/>
        </w:rPr>
        <w:t>dB(A)，夜间≤5</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dB(A)。</w:t>
      </w:r>
    </w:p>
    <w:p>
      <w:pPr>
        <w:keepNext w:val="0"/>
        <w:keepLines w:val="0"/>
        <w:pageBreakBefore w:val="0"/>
        <w:widowControl w:val="0"/>
        <w:kinsoku/>
        <w:wordWrap/>
        <w:overflowPunct/>
        <w:topLinePunct w:val="0"/>
        <w:bidi w:val="0"/>
        <w:snapToGrid/>
        <w:spacing w:line="560" w:lineRule="exact"/>
        <w:ind w:firstLine="640" w:firstLineChars="200"/>
        <w:jc w:val="both"/>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（四）严格落实固体废物分类处置和综合利用措施。</w:t>
      </w:r>
      <w:r>
        <w:rPr>
          <w:rFonts w:hint="eastAsia" w:ascii="仿宋_GB2312" w:hAnsi="仿宋_GB2312" w:eastAsia="仿宋_GB2312" w:cs="仿宋_GB2312"/>
          <w:sz w:val="32"/>
          <w:szCs w:val="32"/>
          <w:highlight w:val="none"/>
          <w:lang w:val="en-US" w:eastAsia="zh-CN"/>
        </w:rPr>
        <w:t>项目生产过程中产生的固废主要是废包装材料、废输液瓶(袋)、食堂厨余垃圾、废活性炭、污水处理站污泥、废药品、废处理膜、医疗废物、生活垃圾。其中一般工业固体废物废包装材料收集后交由一般固废单位处置；废输液瓶(袋)收集后交由指定的再生资源回收处置企业回收利用；食堂厨余垃圾收集后交由专门餐厨垃圾处理公司；废活性炭收集后交由有相应处理能力单位处置。生活垃圾分类收集存放于垃圾桶中，定期交由环卫部门外运处理。污水处理站污泥、废药品、废处理膜、医疗废物等危险废物交由有相应危废处理资质单位处置。</w:t>
      </w:r>
    </w:p>
    <w:p>
      <w:pPr>
        <w:keepNext w:val="0"/>
        <w:keepLines w:val="0"/>
        <w:pageBreakBefore w:val="0"/>
        <w:widowControl w:val="0"/>
        <w:kinsoku/>
        <w:wordWrap/>
        <w:overflowPunct/>
        <w:topLinePunct w:val="0"/>
        <w:bidi w:val="0"/>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三、项目环保投资应纳入工程投资概算并予以落实。</w:t>
      </w:r>
    </w:p>
    <w:p>
      <w:pPr>
        <w:keepNext w:val="0"/>
        <w:keepLines w:val="0"/>
        <w:pageBreakBefore w:val="0"/>
        <w:widowControl w:val="0"/>
        <w:kinsoku/>
        <w:wordWrap/>
        <w:overflowPunct/>
        <w:topLinePunct w:val="0"/>
        <w:bidi w:val="0"/>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四、《报告表》经批准后，建设项目的性质、规模、地点、采用的生产工艺或者防治污染、防止生态破坏的措施发生重大变动的，建设单位应当重新报批建设项目的环境影响评价文件。</w:t>
      </w:r>
    </w:p>
    <w:p>
      <w:pPr>
        <w:keepNext w:val="0"/>
        <w:keepLines w:val="0"/>
        <w:pageBreakBefore w:val="0"/>
        <w:widowControl w:val="0"/>
        <w:kinsoku/>
        <w:wordWrap/>
        <w:overflowPunct/>
        <w:topLinePunct w:val="0"/>
        <w:bidi w:val="0"/>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五、项目建设应严格执行配套建设的环境保护设施与主体工程同时设计、同时施工、同时投产使用的环境保护“三同时”制度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并按规定接受生态环境部门日常监督检查。</w:t>
      </w:r>
    </w:p>
    <w:p>
      <w:pPr>
        <w:keepNext w:val="0"/>
        <w:keepLines w:val="0"/>
        <w:pageBreakBefore w:val="0"/>
        <w:widowControl w:val="0"/>
        <w:kinsoku/>
        <w:wordWrap/>
        <w:overflowPunct/>
        <w:topLinePunct w:val="0"/>
        <w:bidi w:val="0"/>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六、建设单位应根据《建设项目竣工环境保护验收暂行办法》，自行开展环境保护验收工作。验收报告公示期满后5个工作日内，登录全国建设项目竣工环境保护验收信息平台，填报建设项目基本信息、环境保护设施验收情况等相关信息。</w:t>
      </w:r>
    </w:p>
    <w:p>
      <w:pPr>
        <w:pStyle w:val="29"/>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七、建设单位应根据《排污许可管理条例》、《固定污染源排污许可分类管理名录》（2019年版）等相关法律法规要求，完成排污许可相关手续。</w:t>
      </w:r>
    </w:p>
    <w:p>
      <w:pPr>
        <w:keepNext w:val="0"/>
        <w:keepLines w:val="0"/>
        <w:pageBreakBefore w:val="0"/>
        <w:widowControl w:val="0"/>
        <w:kinsoku/>
        <w:wordWrap/>
        <w:overflowPunct/>
        <w:topLinePunct w:val="0"/>
        <w:bidi w:val="0"/>
        <w:snapToGrid/>
        <w:spacing w:line="560" w:lineRule="exact"/>
        <w:ind w:firstLine="4160" w:firstLineChars="1300"/>
        <w:rPr>
          <w:rFonts w:hint="eastAsia" w:ascii="仿宋_GB2312" w:hAnsi="仿宋_GB2312" w:eastAsia="仿宋_GB2312" w:cs="仿宋_GB2312"/>
          <w:sz w:val="32"/>
          <w:szCs w:val="32"/>
        </w:rPr>
      </w:pPr>
    </w:p>
    <w:p>
      <w:pPr>
        <w:pStyle w:val="29"/>
        <w:keepNext w:val="0"/>
        <w:keepLines w:val="0"/>
        <w:pageBreakBefore w:val="0"/>
        <w:widowControl w:val="0"/>
        <w:kinsoku/>
        <w:wordWrap/>
        <w:overflowPunct/>
        <w:topLinePunct w:val="0"/>
        <w:bidi w:val="0"/>
        <w:snapToGrid/>
        <w:spacing w:line="560" w:lineRule="exact"/>
        <w:rPr>
          <w:rFonts w:hint="eastAsia"/>
        </w:rPr>
      </w:pPr>
    </w:p>
    <w:p>
      <w:pPr>
        <w:keepNext w:val="0"/>
        <w:keepLines w:val="0"/>
        <w:pageBreakBefore w:val="0"/>
        <w:widowControl w:val="0"/>
        <w:kinsoku/>
        <w:wordWrap/>
        <w:overflowPunct/>
        <w:topLinePunct w:val="0"/>
        <w:bidi w:val="0"/>
        <w:snapToGrid/>
        <w:spacing w:line="560" w:lineRule="exact"/>
        <w:ind w:firstLine="5440" w:firstLineChars="17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阳江市生态环境局</w:t>
      </w:r>
    </w:p>
    <w:p>
      <w:pPr>
        <w:keepNext w:val="0"/>
        <w:keepLines w:val="0"/>
        <w:pageBreakBefore w:val="0"/>
        <w:widowControl w:val="0"/>
        <w:kinsoku/>
        <w:wordWrap/>
        <w:overflowPunct/>
        <w:topLinePunct w:val="0"/>
        <w:bidi w:val="0"/>
        <w:snapToGrid/>
        <w:spacing w:line="560" w:lineRule="exact"/>
        <w:ind w:firstLine="5440" w:firstLineChars="1700"/>
        <w:jc w:val="left"/>
        <w:rPr>
          <w:rFonts w:eastAsia="方正仿宋简体"/>
          <w:color w:val="FF0000"/>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日</w:t>
      </w:r>
    </w:p>
    <w:sectPr>
      <w:footerReference r:id="rId3" w:type="default"/>
      <w:pgSz w:w="11906" w:h="16838"/>
      <w:pgMar w:top="2098" w:right="1474" w:bottom="1020" w:left="1588" w:header="851" w:footer="992"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S Mincho">
    <w:panose1 w:val="02020609040205080304"/>
    <w:charset w:val="80"/>
    <w:family w:val="roman"/>
    <w:pitch w:val="default"/>
    <w:sig w:usb0="E00002FF" w:usb1="6AC7FDFB" w:usb2="00000012" w:usb3="00000000" w:csb0="4002009F" w:csb1="DFD70000"/>
  </w:font>
  <w:font w:name="仿宋_GB2312">
    <w:panose1 w:val="02010609030101010101"/>
    <w:charset w:val="86"/>
    <w:family w:val="modern"/>
    <w:pitch w:val="default"/>
    <w:sig w:usb0="00000001" w:usb1="080E0000" w:usb2="00000000" w:usb3="00000000" w:csb0="00040000" w:csb1="00000000"/>
    <w:embedRegular r:id="rId1" w:fontKey="{325FA2C4-72D4-4394-8586-3578A8A7D60B}"/>
  </w:font>
  <w:font w:name="寰蒋闆呴粦">
    <w:altName w:val="微软雅黑"/>
    <w:panose1 w:val="00000000000000000000"/>
    <w:charset w:val="00"/>
    <w:family w:val="auto"/>
    <w:pitch w:val="default"/>
    <w:sig w:usb0="00000000" w:usb1="00000000" w:usb2="00000000" w:usb3="00000000" w:csb0="00040001" w:csb1="00000000"/>
  </w:font>
  <w:font w:name="方正仿宋简体">
    <w:altName w:val="微软雅黑"/>
    <w:panose1 w:val="03000509000000000000"/>
    <w:charset w:val="86"/>
    <w:family w:val="script"/>
    <w:pitch w:val="default"/>
    <w:sig w:usb0="00000000" w:usb1="00000000" w:usb2="00000000" w:usb3="00000000" w:csb0="00040000" w:csb1="00000000"/>
    <w:embedRegular r:id="rId2" w:fontKey="{204CFFB8-ED32-4DB0-936A-4C2234DBF197}"/>
  </w:font>
  <w:font w:name="方正小标宋简体">
    <w:panose1 w:val="02000000000000000000"/>
    <w:charset w:val="86"/>
    <w:family w:val="script"/>
    <w:pitch w:val="default"/>
    <w:sig w:usb0="00000001" w:usb1="08000000" w:usb2="00000000" w:usb3="00000000" w:csb0="00040000" w:csb1="00000000"/>
    <w:embedRegular r:id="rId3" w:fontKey="{2837F57A-8641-4467-99B4-DF418EDFEE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outside" w:yAlign="top"/>
      <w:pBdr>
        <w:between w:val="none" w:color="auto" w:sz="0" w:space="0"/>
      </w:pBdr>
    </w:pPr>
    <w:r>
      <w:rPr>
        <w:rFonts w:hint="eastAsia" w:ascii="仿宋_GB2312" w:hAnsi="仿宋_GB2312" w:eastAsia="仿宋_GB2312"/>
        <w:sz w:val="28"/>
      </w:rPr>
      <w:fldChar w:fldCharType="begin"/>
    </w:r>
    <w:r>
      <w:rPr>
        <w:rStyle w:val="25"/>
        <w:rFonts w:hint="eastAsia" w:ascii="仿宋_GB2312" w:hAnsi="仿宋_GB2312" w:eastAsia="仿宋_GB2312"/>
        <w:sz w:val="28"/>
      </w:rPr>
      <w:instrText xml:space="preserve"> PAGE  </w:instrText>
    </w:r>
    <w:r>
      <w:rPr>
        <w:rFonts w:hint="eastAsia" w:ascii="仿宋_GB2312" w:hAnsi="仿宋_GB2312" w:eastAsia="仿宋_GB2312"/>
        <w:sz w:val="28"/>
      </w:rPr>
      <w:fldChar w:fldCharType="separate"/>
    </w:r>
    <w:r>
      <w:rPr>
        <w:rStyle w:val="25"/>
        <w:rFonts w:ascii="仿宋_GB2312" w:hAnsi="仿宋_GB2312" w:eastAsia="仿宋_GB2312"/>
        <w:sz w:val="28"/>
      </w:rPr>
      <w:t>- 2 -</w:t>
    </w:r>
    <w:r>
      <w:rPr>
        <w:rFonts w:hint="eastAsia" w:ascii="仿宋_GB2312" w:hAnsi="仿宋_GB2312" w:eastAsia="仿宋_GB2312"/>
        <w:sz w:val="28"/>
      </w:rPr>
      <w:fldChar w:fldCharType="end"/>
    </w:r>
  </w:p>
  <w:p>
    <w:pPr>
      <w:pStyle w:val="17"/>
      <w:ind w:right="360"/>
      <w:rPr>
        <w:rFonts w:hint="eastAsia"/>
      </w:rPr>
    </w:pPr>
    <w:r>
      <w:rPr>
        <w:rFonts w:hint="eastAsia"/>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446AAD"/>
    <w:multiLevelType w:val="multilevel"/>
    <w:tmpl w:val="DB446AAD"/>
    <w:lvl w:ilvl="0" w:tentative="0">
      <w:start w:val="1"/>
      <w:numFmt w:val="decimal"/>
      <w:suff w:val="nothing"/>
      <w:lvlText w:val="%1."/>
      <w:lvlJc w:val="left"/>
      <w:pPr>
        <w:ind w:left="432" w:hanging="432"/>
      </w:pPr>
      <w:rPr>
        <w:rFonts w:hint="default"/>
      </w:rPr>
    </w:lvl>
    <w:lvl w:ilvl="1" w:tentative="0">
      <w:start w:val="1"/>
      <w:numFmt w:val="decimal"/>
      <w:suff w:val="nothing"/>
      <w:lvlText w:val="%1.%2"/>
      <w:lvlJc w:val="left"/>
      <w:pPr>
        <w:ind w:left="575" w:hanging="575"/>
      </w:pPr>
    </w:lvl>
    <w:lvl w:ilvl="2" w:tentative="0">
      <w:start w:val="1"/>
      <w:numFmt w:val="decimal"/>
      <w:pStyle w:val="36"/>
      <w:suff w:val="nothing"/>
      <w:lvlText w:val="%1.%2.%3"/>
      <w:lvlJc w:val="left"/>
      <w:pPr>
        <w:ind w:left="720" w:hanging="720"/>
      </w:pPr>
    </w:lvl>
    <w:lvl w:ilvl="3" w:tentative="0">
      <w:start w:val="1"/>
      <w:numFmt w:val="decimal"/>
      <w:suff w:val="nothing"/>
      <w:lvlText w:val="%1.%2.%3.%4"/>
      <w:lvlJc w:val="left"/>
      <w:pPr>
        <w:ind w:left="864" w:hanging="864"/>
      </w:pPr>
      <w:rPr>
        <w:rFonts w:hint="default" w:ascii="Times New Roman" w:hAnsi="Times New Roman" w:eastAsia="宋体" w:cs="Times New Roman"/>
        <w:b/>
        <w:bCs w:val="0"/>
        <w:sz w:val="24"/>
        <w:szCs w:val="24"/>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724C3539"/>
    <w:multiLevelType w:val="singleLevel"/>
    <w:tmpl w:val="724C3539"/>
    <w:lvl w:ilvl="0" w:tentative="0">
      <w:start w:val="1"/>
      <w:numFmt w:val="bullet"/>
      <w:pStyle w:val="12"/>
      <w:lvlText w:val=""/>
      <w:lvlJc w:val="left"/>
      <w:pPr>
        <w:tabs>
          <w:tab w:val="left" w:pos="780"/>
        </w:tabs>
        <w:ind w:left="7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readOnly" w:formatting="1" w:enforcement="1"/>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lmZGVlMjEyYjgyYWY0MzhhMGI3YWQwNmE1NDc4YWIifQ=="/>
  </w:docVars>
  <w:rsids>
    <w:rsidRoot w:val="00172A27"/>
    <w:rsid w:val="00087A9F"/>
    <w:rsid w:val="000C6ED3"/>
    <w:rsid w:val="002E336F"/>
    <w:rsid w:val="00376DB1"/>
    <w:rsid w:val="003E7F38"/>
    <w:rsid w:val="004457C8"/>
    <w:rsid w:val="004F7D4B"/>
    <w:rsid w:val="0056199B"/>
    <w:rsid w:val="007B37AF"/>
    <w:rsid w:val="00A62F7C"/>
    <w:rsid w:val="00AB2587"/>
    <w:rsid w:val="00B91268"/>
    <w:rsid w:val="00D91300"/>
    <w:rsid w:val="00E57775"/>
    <w:rsid w:val="011A328F"/>
    <w:rsid w:val="013B4EB6"/>
    <w:rsid w:val="017442FA"/>
    <w:rsid w:val="018C249A"/>
    <w:rsid w:val="01EF0F49"/>
    <w:rsid w:val="02240524"/>
    <w:rsid w:val="024A1BEE"/>
    <w:rsid w:val="03701E50"/>
    <w:rsid w:val="04836133"/>
    <w:rsid w:val="055E224C"/>
    <w:rsid w:val="06CB0518"/>
    <w:rsid w:val="08930B50"/>
    <w:rsid w:val="08BF22FE"/>
    <w:rsid w:val="09C70560"/>
    <w:rsid w:val="0A440FE4"/>
    <w:rsid w:val="0B2B4716"/>
    <w:rsid w:val="0BCD0230"/>
    <w:rsid w:val="0BDA284A"/>
    <w:rsid w:val="0C6C3B47"/>
    <w:rsid w:val="0C6F0B41"/>
    <w:rsid w:val="0CDB5B80"/>
    <w:rsid w:val="0DA62A21"/>
    <w:rsid w:val="0DCB3E19"/>
    <w:rsid w:val="0E835B7C"/>
    <w:rsid w:val="0EBD5122"/>
    <w:rsid w:val="0EEB483E"/>
    <w:rsid w:val="0F492922"/>
    <w:rsid w:val="0F5F2F14"/>
    <w:rsid w:val="10563548"/>
    <w:rsid w:val="106908E7"/>
    <w:rsid w:val="11624E28"/>
    <w:rsid w:val="116C60EB"/>
    <w:rsid w:val="11A02C31"/>
    <w:rsid w:val="11EF1C1E"/>
    <w:rsid w:val="11F21F51"/>
    <w:rsid w:val="124B4A8F"/>
    <w:rsid w:val="13F84313"/>
    <w:rsid w:val="1463461F"/>
    <w:rsid w:val="151B4EE0"/>
    <w:rsid w:val="15313219"/>
    <w:rsid w:val="15AC1DE4"/>
    <w:rsid w:val="161222F2"/>
    <w:rsid w:val="16AE1F94"/>
    <w:rsid w:val="16E15727"/>
    <w:rsid w:val="18A21398"/>
    <w:rsid w:val="18E71F41"/>
    <w:rsid w:val="19691309"/>
    <w:rsid w:val="199C5D44"/>
    <w:rsid w:val="19CA10C7"/>
    <w:rsid w:val="1A1C3315"/>
    <w:rsid w:val="1A8F1A17"/>
    <w:rsid w:val="1AA17168"/>
    <w:rsid w:val="1ABC3B86"/>
    <w:rsid w:val="1C303B51"/>
    <w:rsid w:val="1D434921"/>
    <w:rsid w:val="1DD141DB"/>
    <w:rsid w:val="1E322872"/>
    <w:rsid w:val="1E59638F"/>
    <w:rsid w:val="1FB3345F"/>
    <w:rsid w:val="1FEE20AC"/>
    <w:rsid w:val="204607B7"/>
    <w:rsid w:val="224663FF"/>
    <w:rsid w:val="22FA4B8A"/>
    <w:rsid w:val="23047487"/>
    <w:rsid w:val="257C3E00"/>
    <w:rsid w:val="25EE3094"/>
    <w:rsid w:val="26017076"/>
    <w:rsid w:val="263973EF"/>
    <w:rsid w:val="268A58A2"/>
    <w:rsid w:val="27046688"/>
    <w:rsid w:val="271C38B7"/>
    <w:rsid w:val="273E668C"/>
    <w:rsid w:val="2769195B"/>
    <w:rsid w:val="286E00DC"/>
    <w:rsid w:val="29554664"/>
    <w:rsid w:val="29FD6F9B"/>
    <w:rsid w:val="2A3E70CF"/>
    <w:rsid w:val="2ACD2201"/>
    <w:rsid w:val="2BB039F3"/>
    <w:rsid w:val="2BC6106D"/>
    <w:rsid w:val="2C4D3B33"/>
    <w:rsid w:val="2C5F0FDF"/>
    <w:rsid w:val="2C743DDE"/>
    <w:rsid w:val="2C9D3A89"/>
    <w:rsid w:val="2D177764"/>
    <w:rsid w:val="2D922956"/>
    <w:rsid w:val="2D961A00"/>
    <w:rsid w:val="2E7555D3"/>
    <w:rsid w:val="2E99606A"/>
    <w:rsid w:val="2F5D2A66"/>
    <w:rsid w:val="2FF677AC"/>
    <w:rsid w:val="30851151"/>
    <w:rsid w:val="30A772FA"/>
    <w:rsid w:val="31507699"/>
    <w:rsid w:val="32786EF6"/>
    <w:rsid w:val="331F7621"/>
    <w:rsid w:val="33A70526"/>
    <w:rsid w:val="33A819B6"/>
    <w:rsid w:val="348F6760"/>
    <w:rsid w:val="34A4335D"/>
    <w:rsid w:val="34C53F49"/>
    <w:rsid w:val="3570073D"/>
    <w:rsid w:val="36102183"/>
    <w:rsid w:val="368E25BE"/>
    <w:rsid w:val="36A30716"/>
    <w:rsid w:val="36EE7787"/>
    <w:rsid w:val="370074BA"/>
    <w:rsid w:val="37242F9D"/>
    <w:rsid w:val="376C2B53"/>
    <w:rsid w:val="37F9283D"/>
    <w:rsid w:val="38325D99"/>
    <w:rsid w:val="38D16693"/>
    <w:rsid w:val="3A6154D0"/>
    <w:rsid w:val="3A8A46FF"/>
    <w:rsid w:val="3B4513A3"/>
    <w:rsid w:val="3C1747CF"/>
    <w:rsid w:val="3C5F3172"/>
    <w:rsid w:val="3C634773"/>
    <w:rsid w:val="3CAA7622"/>
    <w:rsid w:val="3CBB3B2E"/>
    <w:rsid w:val="3D743BD2"/>
    <w:rsid w:val="3DDD1152"/>
    <w:rsid w:val="3DE33AFD"/>
    <w:rsid w:val="3F80513D"/>
    <w:rsid w:val="3F8913C1"/>
    <w:rsid w:val="3FD25E21"/>
    <w:rsid w:val="3FFE2074"/>
    <w:rsid w:val="40294CB3"/>
    <w:rsid w:val="405651CC"/>
    <w:rsid w:val="41004C87"/>
    <w:rsid w:val="41381679"/>
    <w:rsid w:val="41516E84"/>
    <w:rsid w:val="41765D5A"/>
    <w:rsid w:val="41DF74C3"/>
    <w:rsid w:val="43DE6155"/>
    <w:rsid w:val="44FA3C5F"/>
    <w:rsid w:val="46953AA5"/>
    <w:rsid w:val="478859BA"/>
    <w:rsid w:val="48AE4431"/>
    <w:rsid w:val="48F14EB5"/>
    <w:rsid w:val="490B736D"/>
    <w:rsid w:val="4937535F"/>
    <w:rsid w:val="494D61AB"/>
    <w:rsid w:val="495530D2"/>
    <w:rsid w:val="499D334C"/>
    <w:rsid w:val="49D630AE"/>
    <w:rsid w:val="4A18316A"/>
    <w:rsid w:val="4A2C4AC9"/>
    <w:rsid w:val="4A4965D2"/>
    <w:rsid w:val="4A4A6F73"/>
    <w:rsid w:val="4C130217"/>
    <w:rsid w:val="4CE03DC6"/>
    <w:rsid w:val="4D0429E5"/>
    <w:rsid w:val="4D8F3AF7"/>
    <w:rsid w:val="4DB57414"/>
    <w:rsid w:val="4FD33566"/>
    <w:rsid w:val="501C6CBB"/>
    <w:rsid w:val="505622BB"/>
    <w:rsid w:val="50A96A4E"/>
    <w:rsid w:val="50E377D9"/>
    <w:rsid w:val="515F51BF"/>
    <w:rsid w:val="51D30B3A"/>
    <w:rsid w:val="51D533B4"/>
    <w:rsid w:val="51D724C5"/>
    <w:rsid w:val="520A4751"/>
    <w:rsid w:val="52BA0CE7"/>
    <w:rsid w:val="532C06D7"/>
    <w:rsid w:val="535E3E2C"/>
    <w:rsid w:val="53664CF7"/>
    <w:rsid w:val="55052414"/>
    <w:rsid w:val="550570DA"/>
    <w:rsid w:val="558461D9"/>
    <w:rsid w:val="558F7C3D"/>
    <w:rsid w:val="55D24225"/>
    <w:rsid w:val="563C5A55"/>
    <w:rsid w:val="56B83A9F"/>
    <w:rsid w:val="56FE0236"/>
    <w:rsid w:val="575546F8"/>
    <w:rsid w:val="588C0756"/>
    <w:rsid w:val="589B71FE"/>
    <w:rsid w:val="58C86F65"/>
    <w:rsid w:val="592856EA"/>
    <w:rsid w:val="599124C8"/>
    <w:rsid w:val="59C0079C"/>
    <w:rsid w:val="5A2E48FE"/>
    <w:rsid w:val="5AB521E6"/>
    <w:rsid w:val="5AEB4E62"/>
    <w:rsid w:val="5B2566C3"/>
    <w:rsid w:val="5B533C27"/>
    <w:rsid w:val="5B5F04BE"/>
    <w:rsid w:val="5BCC2754"/>
    <w:rsid w:val="5C13439A"/>
    <w:rsid w:val="5D510175"/>
    <w:rsid w:val="5E0941FD"/>
    <w:rsid w:val="5E714B4B"/>
    <w:rsid w:val="5E9B7A63"/>
    <w:rsid w:val="5EDC519E"/>
    <w:rsid w:val="5F2152BE"/>
    <w:rsid w:val="5F790472"/>
    <w:rsid w:val="5FAB440D"/>
    <w:rsid w:val="609E5A0A"/>
    <w:rsid w:val="61245501"/>
    <w:rsid w:val="61C41F85"/>
    <w:rsid w:val="61F31B65"/>
    <w:rsid w:val="62A873CF"/>
    <w:rsid w:val="62F64A26"/>
    <w:rsid w:val="63124410"/>
    <w:rsid w:val="63971BF0"/>
    <w:rsid w:val="644068B3"/>
    <w:rsid w:val="64F37C70"/>
    <w:rsid w:val="655967F7"/>
    <w:rsid w:val="656A6211"/>
    <w:rsid w:val="65982872"/>
    <w:rsid w:val="65CC749D"/>
    <w:rsid w:val="65FD2440"/>
    <w:rsid w:val="662B306A"/>
    <w:rsid w:val="66F03545"/>
    <w:rsid w:val="67610D26"/>
    <w:rsid w:val="6772226E"/>
    <w:rsid w:val="67777E73"/>
    <w:rsid w:val="67790EB3"/>
    <w:rsid w:val="67D74856"/>
    <w:rsid w:val="67DB0DB2"/>
    <w:rsid w:val="67F2493E"/>
    <w:rsid w:val="68733169"/>
    <w:rsid w:val="689C69F1"/>
    <w:rsid w:val="68CE6441"/>
    <w:rsid w:val="691A63D1"/>
    <w:rsid w:val="69307ACB"/>
    <w:rsid w:val="698931BC"/>
    <w:rsid w:val="69DA0EE9"/>
    <w:rsid w:val="6A0C66FA"/>
    <w:rsid w:val="6A4946F9"/>
    <w:rsid w:val="6A9F2FC6"/>
    <w:rsid w:val="6AA36AD3"/>
    <w:rsid w:val="6B284039"/>
    <w:rsid w:val="6B50061A"/>
    <w:rsid w:val="6C1558C9"/>
    <w:rsid w:val="6C4A52D0"/>
    <w:rsid w:val="6C751191"/>
    <w:rsid w:val="6C894CE5"/>
    <w:rsid w:val="6C90639F"/>
    <w:rsid w:val="6D40094A"/>
    <w:rsid w:val="6D744246"/>
    <w:rsid w:val="6E73617A"/>
    <w:rsid w:val="6E7F6350"/>
    <w:rsid w:val="6E871319"/>
    <w:rsid w:val="6ED42055"/>
    <w:rsid w:val="6F5245B1"/>
    <w:rsid w:val="6F90302E"/>
    <w:rsid w:val="6FC671DF"/>
    <w:rsid w:val="701632CF"/>
    <w:rsid w:val="701D437B"/>
    <w:rsid w:val="722E2C6B"/>
    <w:rsid w:val="72484CEE"/>
    <w:rsid w:val="72934434"/>
    <w:rsid w:val="73281C56"/>
    <w:rsid w:val="73372296"/>
    <w:rsid w:val="739C1D3D"/>
    <w:rsid w:val="73A81128"/>
    <w:rsid w:val="73E6120B"/>
    <w:rsid w:val="74456E82"/>
    <w:rsid w:val="746217A5"/>
    <w:rsid w:val="7466132F"/>
    <w:rsid w:val="7607361A"/>
    <w:rsid w:val="76645141"/>
    <w:rsid w:val="76EB5AE3"/>
    <w:rsid w:val="772E207D"/>
    <w:rsid w:val="77451D97"/>
    <w:rsid w:val="778525A0"/>
    <w:rsid w:val="77BA7F63"/>
    <w:rsid w:val="77F959B0"/>
    <w:rsid w:val="785726D7"/>
    <w:rsid w:val="789706D7"/>
    <w:rsid w:val="78E51C5C"/>
    <w:rsid w:val="794640E5"/>
    <w:rsid w:val="799F7E92"/>
    <w:rsid w:val="7A2B7F3A"/>
    <w:rsid w:val="7A4A1B88"/>
    <w:rsid w:val="7A6873EA"/>
    <w:rsid w:val="7A6A4943"/>
    <w:rsid w:val="7B4038F6"/>
    <w:rsid w:val="7B98103C"/>
    <w:rsid w:val="7BA0756B"/>
    <w:rsid w:val="7BAB16CE"/>
    <w:rsid w:val="7BF8609D"/>
    <w:rsid w:val="7C195A3A"/>
    <w:rsid w:val="7D2731DC"/>
    <w:rsid w:val="7DC90EF7"/>
    <w:rsid w:val="7ECC7E89"/>
    <w:rsid w:val="7F2856AA"/>
    <w:rsid w:val="7F4C286A"/>
    <w:rsid w:val="7F6D38CC"/>
    <w:rsid w:val="7F982E42"/>
    <w:rsid w:val="7FAD422D"/>
    <w:rsid w:val="7FC31AA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5"/>
    <w:basedOn w:val="1"/>
    <w:next w:val="1"/>
    <w:autoRedefine/>
    <w:qFormat/>
    <w:uiPriority w:val="99"/>
    <w:pPr>
      <w:tabs>
        <w:tab w:val="left" w:pos="1128"/>
        <w:tab w:val="left" w:pos="1364"/>
        <w:tab w:val="left" w:pos="2570"/>
      </w:tabs>
      <w:spacing w:line="360" w:lineRule="auto"/>
      <w:jc w:val="center"/>
      <w:outlineLvl w:val="4"/>
    </w:pPr>
    <w:rPr>
      <w:b/>
    </w:rPr>
  </w:style>
  <w:style w:type="character" w:default="1" w:styleId="24">
    <w:name w:val="Default Paragraph Font"/>
    <w:autoRedefine/>
    <w:qFormat/>
    <w:uiPriority w:val="0"/>
  </w:style>
  <w:style w:type="table" w:default="1" w:styleId="22">
    <w:name w:val="Normal Table"/>
    <w:autoRedefine/>
    <w:unhideWhenUsed/>
    <w:qFormat/>
    <w:uiPriority w:val="99"/>
    <w:tblPr>
      <w:tblCellMar>
        <w:top w:w="0" w:type="dxa"/>
        <w:left w:w="108" w:type="dxa"/>
        <w:bottom w:w="0" w:type="dxa"/>
        <w:right w:w="108" w:type="dxa"/>
      </w:tblCellMar>
    </w:tblPr>
  </w:style>
  <w:style w:type="paragraph" w:styleId="3">
    <w:name w:val="List 3"/>
    <w:basedOn w:val="1"/>
    <w:next w:val="1"/>
    <w:autoRedefine/>
    <w:qFormat/>
    <w:uiPriority w:val="0"/>
    <w:pPr>
      <w:autoSpaceDE w:val="0"/>
      <w:autoSpaceDN w:val="0"/>
      <w:adjustRightInd w:val="0"/>
      <w:spacing w:line="288" w:lineRule="auto"/>
      <w:ind w:left="1260" w:hanging="420"/>
      <w:jc w:val="left"/>
      <w:textAlignment w:val="baseline"/>
    </w:pPr>
    <w:rPr>
      <w:kern w:val="0"/>
      <w:sz w:val="24"/>
    </w:rPr>
  </w:style>
  <w:style w:type="paragraph" w:styleId="4">
    <w:name w:val="E-mail Signature"/>
    <w:basedOn w:val="1"/>
    <w:next w:val="5"/>
    <w:autoRedefine/>
    <w:qFormat/>
    <w:uiPriority w:val="0"/>
    <w:pPr>
      <w:spacing w:line="460" w:lineRule="exact"/>
      <w:ind w:firstLine="200"/>
    </w:pPr>
    <w:rPr>
      <w:sz w:val="24"/>
    </w:rPr>
  </w:style>
  <w:style w:type="paragraph" w:customStyle="1" w:styleId="5">
    <w:name w:val="文章"/>
    <w:basedOn w:val="6"/>
    <w:next w:val="7"/>
    <w:autoRedefine/>
    <w:qFormat/>
    <w:uiPriority w:val="0"/>
    <w:pPr>
      <w:widowControl/>
      <w:ind w:firstLine="480"/>
      <w:jc w:val="center"/>
    </w:pPr>
    <w:rPr>
      <w:sz w:val="26"/>
    </w:rPr>
  </w:style>
  <w:style w:type="paragraph" w:styleId="6">
    <w:name w:val="Body Text Indent"/>
    <w:basedOn w:val="1"/>
    <w:autoRedefine/>
    <w:qFormat/>
    <w:uiPriority w:val="0"/>
    <w:pPr>
      <w:spacing w:line="360" w:lineRule="auto"/>
      <w:ind w:firstLine="482" w:firstLineChars="200"/>
    </w:pPr>
    <w:rPr>
      <w:b/>
      <w:bCs/>
      <w:sz w:val="24"/>
    </w:rPr>
  </w:style>
  <w:style w:type="paragraph" w:styleId="7">
    <w:name w:val="List"/>
    <w:basedOn w:val="1"/>
    <w:next w:val="1"/>
    <w:autoRedefine/>
    <w:qFormat/>
    <w:uiPriority w:val="0"/>
    <w:pPr>
      <w:ind w:left="200" w:hanging="200" w:hangingChars="200"/>
    </w:pPr>
  </w:style>
  <w:style w:type="paragraph" w:styleId="8">
    <w:name w:val="Normal Indent"/>
    <w:basedOn w:val="1"/>
    <w:autoRedefine/>
    <w:qFormat/>
    <w:uiPriority w:val="0"/>
    <w:pPr>
      <w:ind w:firstLine="420"/>
    </w:pPr>
    <w:rPr>
      <w:szCs w:val="20"/>
    </w:rPr>
  </w:style>
  <w:style w:type="paragraph" w:styleId="9">
    <w:name w:val="annotation text"/>
    <w:basedOn w:val="1"/>
    <w:next w:val="10"/>
    <w:autoRedefine/>
    <w:qFormat/>
    <w:uiPriority w:val="0"/>
    <w:pPr>
      <w:jc w:val="left"/>
    </w:pPr>
  </w:style>
  <w:style w:type="paragraph" w:styleId="10">
    <w:name w:val="toc 5"/>
    <w:basedOn w:val="1"/>
    <w:next w:val="1"/>
    <w:autoRedefine/>
    <w:qFormat/>
    <w:uiPriority w:val="39"/>
    <w:pPr>
      <w:ind w:left="960"/>
      <w:jc w:val="left"/>
    </w:pPr>
    <w:rPr>
      <w:rFonts w:ascii="Calibri" w:hAnsi="Calibri"/>
      <w:sz w:val="18"/>
      <w:szCs w:val="18"/>
    </w:rPr>
  </w:style>
  <w:style w:type="paragraph" w:styleId="11">
    <w:name w:val="Body Text"/>
    <w:basedOn w:val="1"/>
    <w:autoRedefine/>
    <w:qFormat/>
    <w:uiPriority w:val="0"/>
    <w:pPr>
      <w:widowControl w:val="0"/>
      <w:spacing w:line="580" w:lineRule="exact"/>
      <w:jc w:val="center"/>
    </w:pPr>
    <w:rPr>
      <w:rFonts w:eastAsia="黑体"/>
      <w:sz w:val="44"/>
    </w:rPr>
  </w:style>
  <w:style w:type="paragraph" w:styleId="12">
    <w:name w:val="List Bullet 2"/>
    <w:basedOn w:val="1"/>
    <w:next w:val="13"/>
    <w:autoRedefine/>
    <w:qFormat/>
    <w:uiPriority w:val="0"/>
    <w:pPr>
      <w:numPr>
        <w:ilvl w:val="0"/>
        <w:numId w:val="1"/>
      </w:numPr>
    </w:pPr>
  </w:style>
  <w:style w:type="paragraph" w:customStyle="1" w:styleId="13">
    <w:name w:val="xl70"/>
    <w:basedOn w:val="1"/>
    <w:next w:val="14"/>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4">
    <w:name w:val="正文缩进1"/>
    <w:basedOn w:val="8"/>
    <w:next w:val="15"/>
    <w:autoRedefine/>
    <w:qFormat/>
    <w:uiPriority w:val="0"/>
    <w:pPr>
      <w:ind w:firstLine="420"/>
    </w:pPr>
  </w:style>
  <w:style w:type="paragraph" w:customStyle="1" w:styleId="15">
    <w:name w:val="td1"/>
    <w:basedOn w:val="1"/>
    <w:next w:val="1"/>
    <w:autoRedefine/>
    <w:qFormat/>
    <w:uiPriority w:val="0"/>
    <w:pPr>
      <w:widowControl/>
      <w:spacing w:before="280" w:after="280" w:line="300" w:lineRule="atLeast"/>
      <w:ind w:firstLine="200"/>
    </w:pPr>
    <w:rPr>
      <w:color w:val="000000"/>
      <w:sz w:val="18"/>
    </w:rPr>
  </w:style>
  <w:style w:type="paragraph" w:styleId="16">
    <w:name w:val="Plain Text"/>
    <w:basedOn w:val="1"/>
    <w:autoRedefine/>
    <w:qFormat/>
    <w:uiPriority w:val="0"/>
    <w:rPr>
      <w:rFonts w:ascii="宋体" w:hAnsi="Courier New"/>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9">
    <w:name w:val="toc 2"/>
    <w:basedOn w:val="1"/>
    <w:next w:val="1"/>
    <w:autoRedefine/>
    <w:qFormat/>
    <w:uiPriority w:val="0"/>
    <w:pPr>
      <w:ind w:left="240"/>
      <w:jc w:val="left"/>
    </w:pPr>
    <w:rPr>
      <w:rFonts w:ascii="Times New Roman" w:hAnsi="Times New Roman"/>
      <w:smallCaps/>
      <w:sz w:val="20"/>
      <w:szCs w:val="20"/>
    </w:rPr>
  </w:style>
  <w:style w:type="paragraph" w:styleId="20">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21">
    <w:name w:val="Body Text First Indent 2"/>
    <w:basedOn w:val="6"/>
    <w:autoRedefine/>
    <w:qFormat/>
    <w:uiPriority w:val="0"/>
    <w:pPr>
      <w:spacing w:after="120" w:afterLines="0" w:line="240" w:lineRule="auto"/>
      <w:ind w:left="420" w:leftChars="200" w:firstLine="420"/>
    </w:pPr>
    <w:rPr>
      <w:b w:val="0"/>
      <w:bCs w:val="0"/>
      <w:sz w:val="21"/>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autoRedefine/>
    <w:qFormat/>
    <w:uiPriority w:val="0"/>
  </w:style>
  <w:style w:type="character" w:styleId="26">
    <w:name w:val="FollowedHyperlink"/>
    <w:basedOn w:val="24"/>
    <w:autoRedefine/>
    <w:qFormat/>
    <w:uiPriority w:val="0"/>
    <w:rPr>
      <w:color w:val="333333"/>
      <w:u w:val="none"/>
    </w:rPr>
  </w:style>
  <w:style w:type="character" w:styleId="27">
    <w:name w:val="HTML Acronym"/>
    <w:basedOn w:val="24"/>
    <w:autoRedefine/>
    <w:qFormat/>
    <w:uiPriority w:val="0"/>
  </w:style>
  <w:style w:type="character" w:styleId="28">
    <w:name w:val="Hyperlink"/>
    <w:basedOn w:val="24"/>
    <w:autoRedefine/>
    <w:qFormat/>
    <w:uiPriority w:val="0"/>
    <w:rPr>
      <w:color w:val="333333"/>
      <w:u w:val="none"/>
    </w:rPr>
  </w:style>
  <w:style w:type="paragraph" w:customStyle="1" w:styleId="29">
    <w:name w:val="Default"/>
    <w:basedOn w:val="30"/>
    <w:next w:val="3"/>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0">
    <w:name w:val="纯文本1"/>
    <w:basedOn w:val="1"/>
    <w:autoRedefine/>
    <w:qFormat/>
    <w:uiPriority w:val="0"/>
    <w:pPr>
      <w:adjustRightInd w:val="0"/>
      <w:ind w:firstLine="0"/>
      <w:jc w:val="center"/>
      <w:textAlignment w:val="baseline"/>
    </w:pPr>
    <w:rPr>
      <w:rFonts w:ascii="宋体" w:hAnsi="Courier New"/>
    </w:rPr>
  </w:style>
  <w:style w:type="paragraph" w:customStyle="1" w:styleId="31">
    <w:name w:val="样式35"/>
    <w:basedOn w:val="32"/>
    <w:next w:val="37"/>
    <w:autoRedefine/>
    <w:qFormat/>
    <w:uiPriority w:val="0"/>
    <w:pPr>
      <w:tabs>
        <w:tab w:val="left" w:pos="0"/>
        <w:tab w:val="left" w:pos="360"/>
        <w:tab w:val="left" w:pos="540"/>
        <w:tab w:val="left" w:pos="567"/>
        <w:tab w:val="left" w:pos="720"/>
        <w:tab w:val="left" w:pos="1008"/>
        <w:tab w:val="left" w:pos="2570"/>
        <w:tab w:val="left" w:pos="4140"/>
      </w:tabs>
      <w:adjustRightInd w:val="0"/>
      <w:spacing w:line="360" w:lineRule="auto"/>
      <w:ind w:firstLine="0" w:firstLineChars="0"/>
      <w:textAlignment w:val="baseline"/>
    </w:pPr>
    <w:rPr>
      <w:rFonts w:ascii="Times New Roman" w:hAnsi="Times New Roman" w:eastAsia="宋体"/>
      <w:kern w:val="0"/>
      <w:sz w:val="24"/>
    </w:rPr>
  </w:style>
  <w:style w:type="paragraph" w:customStyle="1" w:styleId="32">
    <w:name w:val="样式26"/>
    <w:basedOn w:val="33"/>
    <w:autoRedefine/>
    <w:qFormat/>
    <w:uiPriority w:val="0"/>
    <w:pPr>
      <w:tabs>
        <w:tab w:val="left" w:pos="0"/>
        <w:tab w:val="left" w:pos="360"/>
        <w:tab w:val="left" w:pos="540"/>
        <w:tab w:val="left" w:pos="567"/>
        <w:tab w:val="left" w:pos="720"/>
        <w:tab w:val="left" w:pos="1008"/>
        <w:tab w:val="left" w:pos="2570"/>
        <w:tab w:val="left" w:pos="4140"/>
      </w:tabs>
    </w:pPr>
  </w:style>
  <w:style w:type="paragraph" w:customStyle="1" w:styleId="33">
    <w:name w:val="样式21"/>
    <w:basedOn w:val="34"/>
    <w:autoRedefine/>
    <w:qFormat/>
    <w:uiPriority w:val="0"/>
    <w:pPr>
      <w:tabs>
        <w:tab w:val="left" w:pos="360"/>
        <w:tab w:val="left" w:pos="540"/>
        <w:tab w:val="left" w:pos="720"/>
        <w:tab w:val="left" w:pos="1008"/>
        <w:tab w:val="left" w:pos="2570"/>
        <w:tab w:val="left" w:pos="4140"/>
      </w:tabs>
      <w:spacing w:before="120" w:beforeLines="50" w:after="120" w:afterLines="50" w:line="360" w:lineRule="auto"/>
      <w:ind w:left="720" w:hanging="720"/>
      <w:outlineLvl w:val="2"/>
    </w:pPr>
    <w:rPr>
      <w:rFonts w:eastAsia="MS Mincho"/>
      <w:kern w:val="0"/>
      <w:sz w:val="24"/>
      <w:szCs w:val="32"/>
    </w:rPr>
  </w:style>
  <w:style w:type="paragraph" w:customStyle="1" w:styleId="34">
    <w:name w:val="样式5"/>
    <w:basedOn w:val="35"/>
    <w:autoRedefine/>
    <w:qFormat/>
    <w:uiPriority w:val="0"/>
    <w:pPr>
      <w:tabs>
        <w:tab w:val="left" w:pos="1008"/>
        <w:tab w:val="left" w:pos="2570"/>
        <w:tab w:val="left" w:pos="4140"/>
      </w:tabs>
      <w:ind w:left="482" w:firstLine="0" w:firstLineChars="0"/>
    </w:pPr>
    <w:rPr>
      <w:rFonts w:eastAsia="仿宋_GB2312"/>
      <w:b w:val="0"/>
    </w:rPr>
  </w:style>
  <w:style w:type="paragraph" w:customStyle="1" w:styleId="35">
    <w:name w:val="样式12"/>
    <w:basedOn w:val="36"/>
    <w:autoRedefine/>
    <w:qFormat/>
    <w:uiPriority w:val="0"/>
    <w:pPr>
      <w:tabs>
        <w:tab w:val="left" w:pos="1008"/>
        <w:tab w:val="left" w:pos="2570"/>
        <w:tab w:val="left" w:pos="4140"/>
      </w:tabs>
      <w:ind w:firstLine="200" w:firstLineChars="200"/>
    </w:pPr>
    <w:rPr>
      <w:rFonts w:eastAsia="宋体"/>
    </w:rPr>
  </w:style>
  <w:style w:type="paragraph" w:customStyle="1" w:styleId="36">
    <w:name w:val="样式 标题 3标题 3 Char标题3H3h33rd level第二层条三级标题ReHead 3 WSA头..."/>
    <w:autoRedefine/>
    <w:qFormat/>
    <w:uiPriority w:val="0"/>
    <w:pPr>
      <w:widowControl w:val="0"/>
      <w:numPr>
        <w:ilvl w:val="2"/>
        <w:numId w:val="2"/>
      </w:numPr>
      <w:tabs>
        <w:tab w:val="left" w:pos="4140"/>
      </w:tabs>
      <w:spacing w:line="360" w:lineRule="auto"/>
      <w:ind w:left="4140" w:firstLine="0"/>
      <w:outlineLvl w:val="2"/>
    </w:pPr>
    <w:rPr>
      <w:rFonts w:hint="eastAsia" w:ascii="Calibri" w:hAnsi="Calibri" w:eastAsia="黑体" w:cs="Times New Roman"/>
      <w:b/>
      <w:color w:val="FF0000"/>
      <w:sz w:val="30"/>
      <w:szCs w:val="27"/>
      <w:lang w:val="en-US" w:eastAsia="zh-CN" w:bidi="ar-SA"/>
    </w:rPr>
  </w:style>
  <w:style w:type="paragraph" w:customStyle="1" w:styleId="37">
    <w:name w:val="font6"/>
    <w:next w:val="19"/>
    <w:autoRedefine/>
    <w:qFormat/>
    <w:uiPriority w:val="0"/>
    <w:pPr>
      <w:spacing w:before="280" w:after="280"/>
      <w:jc w:val="both"/>
    </w:pPr>
    <w:rPr>
      <w:rFonts w:ascii="Calibri" w:hAnsi="Calibri" w:eastAsia="宋体" w:cs="Times New Roman"/>
      <w:kern w:val="2"/>
      <w:sz w:val="21"/>
      <w:szCs w:val="22"/>
      <w:lang w:val="en-US" w:eastAsia="zh-CN" w:bidi="ar-SA"/>
    </w:rPr>
  </w:style>
  <w:style w:type="paragraph" w:customStyle="1" w:styleId="38">
    <w:name w:val="TOC 2"/>
    <w:basedOn w:val="1"/>
    <w:next w:val="1"/>
    <w:autoRedefine/>
    <w:qFormat/>
    <w:uiPriority w:val="0"/>
    <w:pPr>
      <w:tabs>
        <w:tab w:val="right" w:leader="dot" w:pos="9060"/>
      </w:tabs>
      <w:spacing w:line="360" w:lineRule="auto"/>
      <w:ind w:left="420" w:leftChars="200"/>
    </w:pPr>
  </w:style>
  <w:style w:type="character" w:customStyle="1" w:styleId="39">
    <w:name w:val="msg-box8"/>
    <w:basedOn w:val="24"/>
    <w:autoRedefine/>
    <w:qFormat/>
    <w:uiPriority w:val="0"/>
  </w:style>
  <w:style w:type="character" w:customStyle="1" w:styleId="40">
    <w:name w:val="num24"/>
    <w:basedOn w:val="24"/>
    <w:autoRedefine/>
    <w:qFormat/>
    <w:uiPriority w:val="0"/>
    <w:rPr>
      <w:rFonts w:ascii="寰蒋闆呴粦" w:hAnsi="寰蒋闆呴粦" w:eastAsia="寰蒋闆呴粦" w:cs="寰蒋闆呴粦"/>
      <w:color w:val="999999"/>
    </w:rPr>
  </w:style>
  <w:style w:type="character" w:customStyle="1" w:styleId="41">
    <w:name w:val="bsharetext"/>
    <w:basedOn w:val="24"/>
    <w:autoRedefine/>
    <w:qFormat/>
    <w:uiPriority w:val="0"/>
  </w:style>
  <w:style w:type="character" w:customStyle="1" w:styleId="42">
    <w:name w:val="c1"/>
    <w:basedOn w:val="24"/>
    <w:autoRedefine/>
    <w:qFormat/>
    <w:uiPriority w:val="0"/>
  </w:style>
  <w:style w:type="character" w:customStyle="1" w:styleId="43">
    <w:name w:val="c2"/>
    <w:basedOn w:val="24"/>
    <w:autoRedefine/>
    <w:qFormat/>
    <w:uiPriority w:val="0"/>
  </w:style>
  <w:style w:type="character" w:customStyle="1" w:styleId="44">
    <w:name w:val="video-hit"/>
    <w:basedOn w:val="24"/>
    <w:autoRedefine/>
    <w:qFormat/>
    <w:uiPriority w:val="0"/>
  </w:style>
  <w:style w:type="character" w:customStyle="1" w:styleId="45">
    <w:name w:val="img-title"/>
    <w:basedOn w:val="24"/>
    <w:autoRedefine/>
    <w:qFormat/>
    <w:uiPriority w:val="0"/>
    <w:rPr>
      <w:vanish/>
    </w:rPr>
  </w:style>
  <w:style w:type="character" w:customStyle="1" w:styleId="46">
    <w:name w:val="name6"/>
    <w:basedOn w:val="24"/>
    <w:autoRedefine/>
    <w:qFormat/>
    <w:uiPriority w:val="0"/>
  </w:style>
  <w:style w:type="character" w:customStyle="1" w:styleId="47">
    <w:name w:val="c3"/>
    <w:basedOn w:val="24"/>
    <w:autoRedefine/>
    <w:qFormat/>
    <w:uiPriority w:val="0"/>
  </w:style>
  <w:style w:type="paragraph" w:customStyle="1" w:styleId="48">
    <w:name w:val="Default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9">
    <w:name w:val=" Char"/>
    <w:basedOn w:val="1"/>
    <w:autoRedefine/>
    <w:qFormat/>
    <w:uiPriority w:val="0"/>
    <w:pPr>
      <w:adjustRightInd/>
      <w:jc w:val="both"/>
      <w:textAlignment w:val="auto"/>
    </w:pPr>
  </w:style>
  <w:style w:type="paragraph" w:customStyle="1" w:styleId="50">
    <w:name w:val="正文·"/>
    <w:basedOn w:val="1"/>
    <w:autoRedefine/>
    <w:qFormat/>
    <w:uiPriority w:val="0"/>
    <w:pPr>
      <w:ind w:firstLine="48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4453;&#20986;&#25991;&#20214;\75&#20851;&#20110;&#24449;&#27714;&#22269;&#36947;G234&#32447;&#38451;&#26149;&#24066;&#26149;&#22478;&#40654;&#28246;&#33267;&#19971;&#26143;&#27573;&#25913;&#32447;&#24037;&#31243;&#26045;&#24037;&#22270;&#35774;&#35745;&#26041;&#26696;&#24847;&#35265;&#30340;&#20989;\Normal.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Normal.wpt</Template>
  <Pages>4</Pages>
  <Words>1863</Words>
  <Characters>2085</Characters>
  <Lines>12</Lines>
  <Paragraphs>3</Paragraphs>
  <TotalTime>5</TotalTime>
  <ScaleCrop>false</ScaleCrop>
  <LinksUpToDate>false</LinksUpToDate>
  <CharactersWithSpaces>2095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2019-08-28T08:49:00Z</dcterms:created>
  <dc:creator>梁肇辉</dc:creator>
  <cp:lastModifiedBy>小梁</cp:lastModifiedBy>
  <cp:lastPrinted>2026-02-05T07:29:00Z</cp:lastPrinted>
  <dcterms:modified xsi:type="dcterms:W3CDTF">2026-03-13T07:01:07Z</dcterms:modified>
  <dc:title>阳环（春）建审〔2019〕  号</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175139A936734E1C87F0D519A81DFA70_13</vt:lpwstr>
  </property>
  <property fmtid="{D5CDD505-2E9C-101B-9397-08002B2CF9AE}" pid="4" name="KSOTemplateDocerSaveRecord">
    <vt:lpwstr>eyJoZGlkIjoiZmIxNDBkMWQ4ODgwZGJjMTZkMmY4NzM3ZTI2ODdhZDYiLCJ1c2VySWQiOiIxMjEyMjg3Mjk3In0=</vt:lpwstr>
  </property>
</Properties>
</file>