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E8E9E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0088219A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</w:pPr>
    </w:p>
    <w:p w14:paraId="56B94E13">
      <w:pPr>
        <w:widowControl/>
        <w:spacing w:beforeLines="0" w:afterLines="0" w:line="572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u w:val="none"/>
          <w:lang w:val="en-US" w:eastAsia="zh-CN" w:bidi="ar"/>
        </w:rPr>
        <w:t>金海湾华府项目水土保持方案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u w:val="none"/>
          <w:lang w:val="en-US" w:eastAsia="zh-CN"/>
        </w:rPr>
        <w:t>告知书</w:t>
      </w:r>
    </w:p>
    <w:p w14:paraId="559E649D">
      <w:pPr>
        <w:widowControl/>
        <w:spacing w:beforeLines="0" w:afterLines="0" w:line="572" w:lineRule="exact"/>
        <w:ind w:firstLine="0" w:firstLineChars="0"/>
        <w:jc w:val="center"/>
        <w:rPr>
          <w:rFonts w:hint="eastAsia" w:ascii="Times New Roman" w:hAnsi="Times New Roman" w:eastAsia="黑体"/>
          <w:color w:val="auto"/>
          <w:spacing w:val="6"/>
          <w:sz w:val="32"/>
          <w:szCs w:val="32"/>
          <w:lang w:eastAsia="zh-CN"/>
        </w:rPr>
      </w:pPr>
    </w:p>
    <w:p w14:paraId="5AE7310C">
      <w:pPr>
        <w:spacing w:beforeLines="0" w:afterLines="0" w:line="572" w:lineRule="exact"/>
        <w:ind w:firstLine="0"/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阳江市华翰房地产开发有限公司</w:t>
      </w:r>
      <w:r>
        <w:rPr>
          <w:rFonts w:hint="default" w:ascii="Times New Roman" w:hAnsi="Times New Roman" w:eastAsia="仿宋_GB2312" w:cstheme="minorBidi"/>
          <w:color w:val="auto"/>
          <w:sz w:val="32"/>
          <w:szCs w:val="32"/>
          <w:u w:val="none"/>
          <w:lang w:bidi="ar"/>
        </w:rPr>
        <w:t>：</w:t>
      </w:r>
    </w:p>
    <w:p w14:paraId="7BDFFE97">
      <w:pPr>
        <w:spacing w:beforeLines="0" w:afterLines="0"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eastAsia="zh-CN" w:bidi="ar"/>
        </w:rPr>
        <w:t>我局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 w:bidi="ar"/>
        </w:rPr>
        <w:t>对你单位申请的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金海湾华府项目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"/>
        </w:rPr>
        <w:t>水土保持方案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作出准予行政许可决定。为依法实施该项目的水土保持方案，依据《中华人民共和国水土保持法》、《广东省水土保持条例》的相关规定，告知如下：</w:t>
      </w:r>
    </w:p>
    <w:p w14:paraId="4D3FF66F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按照批准的水土保持方案，做好水土保持初步设计和施工图设计，加强施工组织等管理工作，切实落实水土保持“三同时”制度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1117D3D1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严格按方案要求落实各项水土保持措施。各项施工活动要严格限定在用地范围内，严禁随意占压、扰动和破坏地表植被。做好表土剥离和弃渣综合利用。根据方案要求合理安排施工时序和水土保持措施实施进度，严格控制施工期可能造成的水土流失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。 </w:t>
      </w:r>
    </w:p>
    <w:p w14:paraId="787B7E2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请切实做好水土保持监测工作，加强水土流失动态监控。</w:t>
      </w:r>
    </w:p>
    <w:p w14:paraId="7E7156BB">
      <w:pPr>
        <w:numPr>
          <w:ilvl w:val="0"/>
          <w:numId w:val="1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做好水土保持监理工作，确保水土保持工程质量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</w:t>
      </w:r>
    </w:p>
    <w:p w14:paraId="454F56C7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ascii="Times New Roman" w:hAnsi="Times New Roman" w:eastAsia="仿宋_GB2312"/>
          <w:color w:val="auto"/>
          <w:sz w:val="32"/>
          <w:szCs w:val="32"/>
        </w:rPr>
        <w:t>落实报告制度。在项目开工建设后十五个工作日内向我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书面报告开工信息。</w:t>
      </w:r>
    </w:p>
    <w:p w14:paraId="2DCE56AC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尽快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缴纳水土保持补偿费。</w:t>
      </w:r>
    </w:p>
    <w:p w14:paraId="1C3E9A29">
      <w:pPr>
        <w:numPr>
          <w:ilvl w:val="0"/>
          <w:numId w:val="1"/>
        </w:num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如项目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的地点、规模如发生重大变化，或者水土保持方案实施过程中措施发生重大变更，应当补充或者修改水土保持方案，报我局审批。在水土保持方案确定的弃渣场外新设弃渣场的，或者需要提高弃渣场堆渣量达到20%以上的，应当在弃渣前编制水土保持方案（弃渣场补充）报告书，报我局审批。</w:t>
      </w:r>
    </w:p>
    <w:p w14:paraId="46678D87">
      <w:pPr>
        <w:spacing w:line="572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项目在竣工验收和投产使用前，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你单位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应对水土保持设施进行自主验收。水土保持设施未经验收或者验收不合格的，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生产建设项目</w:t>
      </w:r>
      <w:r>
        <w:rPr>
          <w:rFonts w:hint="default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不得投产使用。</w:t>
      </w:r>
    </w:p>
    <w:p w14:paraId="295F77E5">
      <w:pPr>
        <w:numPr>
          <w:ilvl w:val="-1"/>
          <w:numId w:val="0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、请</w:t>
      </w:r>
      <w:r>
        <w:rPr>
          <w:rFonts w:ascii="Times New Roman" w:hAnsi="Times New Roman" w:eastAsia="仿宋_GB2312"/>
          <w:color w:val="auto"/>
          <w:sz w:val="32"/>
          <w:szCs w:val="32"/>
        </w:rPr>
        <w:t>配合做好监督检查工作。我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/>
          <w:color w:val="auto"/>
          <w:sz w:val="32"/>
          <w:szCs w:val="32"/>
        </w:rPr>
        <w:t>将对水土保持方案的实施情况进行监督检查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/>
          <w:color w:val="auto"/>
          <w:sz w:val="32"/>
          <w:szCs w:val="32"/>
        </w:rPr>
        <w:t>，你</w:t>
      </w:r>
      <w:r>
        <w:rPr>
          <w:rFonts w:hint="eastAsia" w:ascii="Times New Roman" w:hAnsi="Times New Roman" w:eastAsia="仿宋_GB2312" w:cstheme="minorBidi"/>
          <w:color w:val="auto"/>
          <w:kern w:val="2"/>
          <w:sz w:val="32"/>
          <w:szCs w:val="32"/>
          <w:lang w:val="en-US" w:eastAsia="zh-CN" w:bidi="ar"/>
        </w:rPr>
        <w:t>单位</w:t>
      </w:r>
      <w:r>
        <w:rPr>
          <w:rFonts w:ascii="Times New Roman" w:hAnsi="Times New Roman" w:eastAsia="仿宋_GB2312"/>
          <w:color w:val="auto"/>
          <w:sz w:val="32"/>
          <w:szCs w:val="32"/>
        </w:rPr>
        <w:t>应配合做好相关工作。</w:t>
      </w:r>
    </w:p>
    <w:p w14:paraId="4BA3D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eastAsia="zh-CN"/>
        </w:rPr>
        <w:t>如违反上述告知事项，将承担相应的法律责任。</w:t>
      </w:r>
    </w:p>
    <w:p w14:paraId="205DB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15D56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5CD38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lang w:eastAsia="zh-CN"/>
        </w:rPr>
      </w:pPr>
    </w:p>
    <w:p w14:paraId="40260328">
      <w:pPr>
        <w:numPr>
          <w:ilvl w:val="0"/>
          <w:numId w:val="0"/>
        </w:numPr>
        <w:spacing w:line="572" w:lineRule="exact"/>
        <w:ind w:firstLine="20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10"/>
          <w:szCs w:val="10"/>
        </w:rPr>
        <w:t xml:space="preserve">    </w:t>
      </w:r>
      <w:r>
        <w:rPr>
          <w:rFonts w:hint="eastAsia" w:ascii="Times New Roman" w:hAnsi="Times New Roman" w:eastAsia="仿宋_GB2312"/>
          <w:color w:val="000000"/>
          <w:sz w:val="10"/>
          <w:szCs w:val="10"/>
          <w:lang w:val="en-US" w:eastAsia="zh-CN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sz w:val="10"/>
          <w:szCs w:val="10"/>
          <w:lang w:val="en-US" w:eastAsia="zh-CN"/>
        </w:rPr>
        <w:t xml:space="preserve">   </w:t>
      </w:r>
      <w:r>
        <w:rPr>
          <w:rFonts w:hint="default" w:ascii="Times New Roman" w:hAnsi="Times New Roman" w:eastAsia="仿宋_GB2312"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  <w:t>阳春市水务局</w:t>
      </w:r>
    </w:p>
    <w:p w14:paraId="552290BC">
      <w:pPr>
        <w:numPr>
          <w:ilvl w:val="0"/>
          <w:numId w:val="0"/>
        </w:numPr>
        <w:spacing w:line="572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                      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/>
          <w:color w:val="auto"/>
          <w:sz w:val="32"/>
          <w:szCs w:val="32"/>
        </w:rPr>
        <w:t xml:space="preserve">   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28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日</w:t>
      </w:r>
    </w:p>
    <w:p w14:paraId="53047672"/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94733A"/>
    <w:multiLevelType w:val="singleLevel"/>
    <w:tmpl w:val="5C94733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901AC"/>
    <w:rsid w:val="18115FA7"/>
    <w:rsid w:val="2611363E"/>
    <w:rsid w:val="2A64640A"/>
    <w:rsid w:val="34F8431E"/>
    <w:rsid w:val="40D7587F"/>
    <w:rsid w:val="4B10615B"/>
    <w:rsid w:val="55DF2C65"/>
    <w:rsid w:val="5BA83AF9"/>
    <w:rsid w:val="74871BEE"/>
    <w:rsid w:val="79C0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672</Characters>
  <Lines>0</Lines>
  <Paragraphs>0</Paragraphs>
  <TotalTime>11</TotalTime>
  <ScaleCrop>false</ScaleCrop>
  <LinksUpToDate>false</LinksUpToDate>
  <CharactersWithSpaces>811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2025-12-22T02:45:00Z</dcterms:created>
  <dc:creator>skype</dc:creator>
  <cp:lastModifiedBy>-陈 开 心。</cp:lastModifiedBy>
  <cp:lastPrinted>2026-03-23T03:15:26Z</cp:lastPrinted>
  <dcterms:modified xsi:type="dcterms:W3CDTF">2026-03-23T03:16:03Z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eyJoZGlkIjoiMzJjMzEyM2Q3ODhiNzI1ZDQ1NDNlOWYzYTU0MzhkY2IiLCJ1c2VySWQiOiI3MTE4ODk1NDIifQ==</vt:lpwstr>
  </property>
  <property fmtid="{D5CDD505-2E9C-101B-9397-08002B2CF9AE}" pid="4" name="ICV">
    <vt:lpwstr>C39913576EC54D90B8ECF46A5CA63587_13</vt:lpwstr>
  </property>
</Properties>
</file>