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AE21E">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0CB767B2">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42F38238">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kern w:val="2"/>
          <w:sz w:val="32"/>
          <w:szCs w:val="32"/>
          <w:u w:val="none"/>
          <w:lang w:val="en-US" w:eastAsia="zh-CN" w:bidi="ar"/>
        </w:rPr>
        <w:t>春水水保〔2026〕1号</w:t>
      </w:r>
    </w:p>
    <w:p w14:paraId="65AF8803">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p>
    <w:p w14:paraId="339E1AB0">
      <w:pPr>
        <w:widowControl/>
        <w:spacing w:beforeLines="0" w:afterLines="0" w:line="572" w:lineRule="exact"/>
        <w:jc w:val="center"/>
        <w:rPr>
          <w:rFonts w:hint="eastAsia" w:ascii="方正小标宋简体" w:hAnsi="方正小标宋简体" w:eastAsia="方正小标宋简体" w:cs="方正小标宋简体"/>
          <w:color w:val="auto"/>
          <w:spacing w:val="0"/>
          <w:sz w:val="44"/>
          <w:szCs w:val="44"/>
          <w:u w:val="none"/>
          <w:lang w:val="en-US" w:eastAsia="zh-CN"/>
        </w:rPr>
      </w:pPr>
      <w:r>
        <w:rPr>
          <w:rFonts w:hint="eastAsia" w:ascii="方正小标宋简体" w:hAnsi="方正小标宋简体" w:eastAsia="方正小标宋简体" w:cs="方正小标宋简体"/>
          <w:color w:val="auto"/>
          <w:kern w:val="2"/>
          <w:sz w:val="44"/>
          <w:szCs w:val="44"/>
          <w:u w:val="none"/>
          <w:lang w:val="en-US" w:eastAsia="zh-CN" w:bidi="ar"/>
        </w:rPr>
        <w:t>鸿胜发箱包生产项目水土保持方案</w:t>
      </w:r>
      <w:r>
        <w:rPr>
          <w:rFonts w:hint="eastAsia" w:ascii="方正小标宋简体" w:hAnsi="方正小标宋简体" w:eastAsia="方正小标宋简体" w:cs="方正小标宋简体"/>
          <w:color w:val="auto"/>
          <w:spacing w:val="0"/>
          <w:sz w:val="44"/>
          <w:szCs w:val="44"/>
          <w:u w:val="none"/>
          <w:lang w:val="en-US" w:eastAsia="zh-CN"/>
        </w:rPr>
        <w:t>审批</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spacing w:val="0"/>
          <w:sz w:val="44"/>
          <w:szCs w:val="44"/>
          <w:u w:val="none"/>
          <w:lang w:val="en-US" w:eastAsia="zh-CN"/>
        </w:rPr>
        <w:t>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eastAsia" w:ascii="仿宋_GB2312" w:hAnsi="仿宋_GB2312" w:eastAsia="仿宋_GB2312" w:cs="仿宋_GB2312"/>
          <w:color w:val="auto"/>
          <w:sz w:val="32"/>
          <w:szCs w:val="32"/>
          <w:u w:val="none"/>
          <w:lang w:bidi="ar"/>
        </w:rPr>
      </w:pPr>
      <w:r>
        <w:rPr>
          <w:rFonts w:hint="eastAsia" w:ascii="仿宋_GB2312" w:hAnsi="仿宋_GB2312" w:eastAsia="仿宋_GB2312" w:cs="仿宋_GB2312"/>
          <w:color w:val="000000"/>
          <w:kern w:val="0"/>
          <w:sz w:val="32"/>
          <w:szCs w:val="32"/>
          <w:lang w:val="en-US" w:eastAsia="zh-CN" w:bidi="ar"/>
        </w:rPr>
        <w:t>阳江市鸿胜发箱包有限公司</w:t>
      </w:r>
      <w:r>
        <w:rPr>
          <w:rFonts w:hint="eastAsia" w:ascii="仿宋_GB2312" w:hAnsi="仿宋_GB2312" w:eastAsia="仿宋_GB2312" w:cs="仿宋_GB2312"/>
          <w:color w:val="auto"/>
          <w:sz w:val="32"/>
          <w:szCs w:val="32"/>
          <w:u w:val="none"/>
          <w:lang w:bidi="ar"/>
        </w:rPr>
        <w:t>：</w:t>
      </w:r>
    </w:p>
    <w:p w14:paraId="79042EAB">
      <w:pPr>
        <w:spacing w:beforeLines="0" w:afterLines="0" w:line="572" w:lineRule="exact"/>
        <w:ind w:firstLine="65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收到你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color w:val="auto"/>
          <w:kern w:val="2"/>
          <w:sz w:val="32"/>
          <w:szCs w:val="32"/>
          <w:u w:val="none"/>
          <w:lang w:val="en-US" w:eastAsia="zh-CN" w:bidi="ar"/>
        </w:rPr>
        <w:t>鸿胜发箱包生产项目水土保持方案</w:t>
      </w:r>
      <w:r>
        <w:rPr>
          <w:rFonts w:hint="eastAsia" w:ascii="仿宋_GB2312" w:hAnsi="仿宋_GB2312" w:eastAsia="仿宋_GB2312" w:cs="仿宋_GB2312"/>
          <w:sz w:val="32"/>
          <w:szCs w:val="32"/>
          <w:lang w:eastAsia="zh-CN"/>
        </w:rPr>
        <w:t>申请材料（包括</w:t>
      </w:r>
      <w:r>
        <w:rPr>
          <w:rFonts w:hint="eastAsia" w:ascii="仿宋_GB2312" w:hAnsi="仿宋_GB2312" w:eastAsia="仿宋_GB2312" w:cs="仿宋_GB2312"/>
          <w:sz w:val="32"/>
          <w:szCs w:val="32"/>
          <w:lang w:val="en-US" w:eastAsia="zh-CN"/>
        </w:rPr>
        <w:t>项目水土保持方案审批申请、项目水土保持方案及项目水土保持方案审批承诺书、</w:t>
      </w:r>
      <w:r>
        <w:rPr>
          <w:rFonts w:hint="eastAsia" w:ascii="仿宋_GB2312" w:hAnsi="仿宋_GB2312" w:eastAsia="仿宋_GB2312" w:cs="仿宋_GB2312"/>
          <w:i w:val="0"/>
          <w:caps w:val="0"/>
          <w:color w:val="auto"/>
          <w:spacing w:val="0"/>
          <w:sz w:val="32"/>
          <w:szCs w:val="32"/>
        </w:rPr>
        <w:t>水土流失防治责任范围图shp格式</w:t>
      </w:r>
      <w:r>
        <w:rPr>
          <w:rFonts w:hint="eastAsia" w:ascii="仿宋_GB2312" w:hAnsi="仿宋_GB2312" w:eastAsia="仿宋_GB2312" w:cs="仿宋_GB2312"/>
          <w:i w:val="0"/>
          <w:caps w:val="0"/>
          <w:color w:val="auto"/>
          <w:spacing w:val="0"/>
          <w:sz w:val="32"/>
          <w:szCs w:val="32"/>
          <w:u w:val="none"/>
          <w:lang w:eastAsia="zh-CN"/>
        </w:rPr>
        <w:t>文件</w:t>
      </w:r>
      <w:r>
        <w:rPr>
          <w:rFonts w:hint="eastAsia" w:ascii="仿宋_GB2312" w:hAnsi="仿宋_GB2312" w:eastAsia="仿宋_GB2312" w:cs="仿宋_GB2312"/>
          <w:i w:val="0"/>
          <w:caps w:val="0"/>
          <w:color w:val="auto"/>
          <w:spacing w:val="0"/>
          <w:sz w:val="32"/>
          <w:szCs w:val="32"/>
          <w:u w:val="none"/>
          <w:lang w:val="en-US" w:eastAsia="zh-CN"/>
        </w:rPr>
        <w:t>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受理你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提出的</w:t>
      </w:r>
      <w:r>
        <w:rPr>
          <w:rFonts w:hint="eastAsia" w:ascii="仿宋_GB2312" w:hAnsi="仿宋_GB2312" w:eastAsia="仿宋_GB2312" w:cs="仿宋_GB2312"/>
          <w:color w:val="auto"/>
          <w:kern w:val="2"/>
          <w:sz w:val="32"/>
          <w:szCs w:val="32"/>
          <w:u w:val="none"/>
          <w:lang w:val="en-US" w:eastAsia="zh-CN" w:bidi="ar"/>
        </w:rPr>
        <w:t>鸿胜发箱包生产项目</w:t>
      </w:r>
      <w:r>
        <w:rPr>
          <w:rFonts w:hint="eastAsia" w:ascii="仿宋_GB2312" w:hAnsi="仿宋_GB2312" w:eastAsia="仿宋_GB2312" w:cs="仿宋_GB2312"/>
          <w:kern w:val="2"/>
          <w:sz w:val="32"/>
          <w:szCs w:val="32"/>
          <w:u w:val="none"/>
          <w:lang w:val="en-US" w:eastAsia="zh-CN" w:bidi="ar"/>
        </w:rPr>
        <w:t>水土保持方案</w:t>
      </w:r>
      <w:r>
        <w:rPr>
          <w:rFonts w:hint="eastAsia" w:ascii="仿宋_GB2312" w:hAnsi="仿宋_GB2312" w:eastAsia="仿宋_GB2312" w:cs="仿宋_GB2312"/>
          <w:sz w:val="32"/>
          <w:szCs w:val="32"/>
          <w:u w:val="none"/>
          <w:lang w:val="en-US" w:eastAsia="zh-CN"/>
        </w:rPr>
        <w:t>行政许可</w:t>
      </w:r>
      <w:r>
        <w:rPr>
          <w:rFonts w:hint="eastAsia" w:ascii="仿宋_GB2312" w:hAnsi="仿宋_GB2312" w:eastAsia="仿宋_GB2312" w:cs="仿宋_GB2312"/>
          <w:sz w:val="32"/>
          <w:szCs w:val="32"/>
        </w:rPr>
        <w:t>申请。经</w:t>
      </w:r>
      <w:r>
        <w:rPr>
          <w:rFonts w:hint="eastAsia" w:ascii="仿宋_GB2312" w:hAnsi="仿宋_GB2312" w:eastAsia="仿宋_GB2312" w:cs="仿宋_GB2312"/>
          <w:sz w:val="32"/>
          <w:szCs w:val="32"/>
          <w:lang w:val="en-US" w:eastAsia="zh-CN"/>
        </w:rPr>
        <w:t>程序性</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我局认为你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提交的申请材料符合法定条件。</w:t>
      </w:r>
      <w:r>
        <w:rPr>
          <w:rFonts w:hint="eastAsia" w:ascii="仿宋_GB2312" w:hAnsi="仿宋_GB2312" w:eastAsia="仿宋_GB2312" w:cs="仿宋_GB2312"/>
          <w:spacing w:val="0"/>
          <w:kern w:val="2"/>
          <w:sz w:val="32"/>
          <w:szCs w:val="32"/>
        </w:rPr>
        <w:t>根据</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同意建设期水土流失防治责任范围为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kern w:val="2"/>
          <w:sz w:val="32"/>
          <w:szCs w:val="32"/>
          <w:u w:val="single"/>
          <w:lang w:val="en-US" w:eastAsia="zh-CN" w:bidi="ar"/>
        </w:rPr>
        <w:t xml:space="preserve">1.74 </w:t>
      </w:r>
      <w:r>
        <w:rPr>
          <w:rFonts w:hint="eastAsia" w:ascii="仿宋_GB2312" w:hAnsi="仿宋_GB2312" w:eastAsia="仿宋_GB2312" w:cs="仿宋_GB2312"/>
          <w:sz w:val="32"/>
          <w:szCs w:val="32"/>
        </w:rPr>
        <w:t>公顷。</w:t>
      </w:r>
    </w:p>
    <w:p w14:paraId="339B8AA1">
      <w:pPr>
        <w:spacing w:beforeLines="0" w:afterLines="0" w:line="572"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（二）同意水土流失防治</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u w:val="single"/>
          <w:lang w:eastAsia="zh-CN"/>
        </w:rPr>
        <w:t>南方红壤</w:t>
      </w:r>
      <w:r>
        <w:rPr>
          <w:rFonts w:hint="eastAsia" w:ascii="仿宋_GB2312" w:hAnsi="仿宋_GB2312" w:eastAsia="仿宋_GB2312" w:cs="仿宋_GB2312"/>
          <w:sz w:val="32"/>
          <w:szCs w:val="32"/>
          <w:u w:val="single"/>
          <w:lang w:val="en-US" w:eastAsia="zh-CN"/>
        </w:rPr>
        <w:t>区</w:t>
      </w:r>
      <w:r>
        <w:rPr>
          <w:rFonts w:hint="eastAsia" w:ascii="仿宋_GB2312" w:hAnsi="仿宋_GB2312" w:eastAsia="仿宋_GB2312" w:cs="仿宋_GB2312"/>
          <w:sz w:val="32"/>
          <w:szCs w:val="32"/>
          <w:u w:val="single"/>
          <w:lang w:eastAsia="zh-CN"/>
        </w:rPr>
        <w:t>建设类项目</w:t>
      </w:r>
      <w:r>
        <w:rPr>
          <w:rFonts w:hint="eastAsia" w:ascii="仿宋_GB2312" w:hAnsi="仿宋_GB2312" w:eastAsia="仿宋_GB2312" w:cs="仿宋_GB2312"/>
          <w:sz w:val="32"/>
          <w:szCs w:val="32"/>
          <w:u w:val="single"/>
          <w:lang w:val="en-US" w:eastAsia="zh-CN"/>
        </w:rPr>
        <w:t>二</w:t>
      </w:r>
      <w:r>
        <w:rPr>
          <w:rFonts w:hint="eastAsia" w:ascii="仿宋_GB2312" w:hAnsi="仿宋_GB2312" w:eastAsia="仿宋_GB2312" w:cs="仿宋_GB2312"/>
          <w:sz w:val="32"/>
          <w:szCs w:val="32"/>
          <w:u w:val="single"/>
        </w:rPr>
        <w:t>级标准</w:t>
      </w:r>
      <w:r>
        <w:rPr>
          <w:rFonts w:hint="eastAsia" w:ascii="仿宋_GB2312" w:hAnsi="仿宋_GB2312" w:eastAsia="仿宋_GB2312" w:cs="仿宋_GB2312"/>
          <w:sz w:val="32"/>
          <w:szCs w:val="32"/>
        </w:rPr>
        <w:t>。</w:t>
      </w:r>
    </w:p>
    <w:p w14:paraId="1DF330D2">
      <w:pPr>
        <w:spacing w:beforeLines="0" w:afterLines="0"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（三）同意水土流失防治目标为：</w:t>
      </w:r>
      <w:r>
        <w:rPr>
          <w:rFonts w:hint="eastAsia" w:ascii="仿宋_GB2312" w:hAnsi="仿宋_GB2312" w:eastAsia="仿宋_GB2312" w:cs="仿宋_GB2312"/>
          <w:color w:val="auto"/>
          <w:sz w:val="32"/>
          <w:szCs w:val="32"/>
        </w:rPr>
        <w:t>水土流失总治理度</w:t>
      </w:r>
      <w:r>
        <w:rPr>
          <w:rFonts w:hint="eastAsia" w:ascii="仿宋_GB2312" w:hAnsi="仿宋_GB2312" w:eastAsia="仿宋_GB2312" w:cs="仿宋_GB2312"/>
          <w:color w:val="auto"/>
          <w:sz w:val="32"/>
          <w:szCs w:val="32"/>
          <w:u w:val="single"/>
          <w:lang w:val="en-US" w:eastAsia="zh-CN"/>
        </w:rPr>
        <w:t>95</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，土壤流失控制比</w:t>
      </w:r>
      <w:r>
        <w:rPr>
          <w:rFonts w:hint="eastAsia" w:ascii="仿宋_GB2312" w:hAnsi="仿宋_GB2312" w:eastAsia="仿宋_GB2312" w:cs="仿宋_GB2312"/>
          <w:color w:val="auto"/>
          <w:sz w:val="32"/>
          <w:szCs w:val="32"/>
          <w:u w:val="single"/>
          <w:lang w:val="en-US" w:eastAsia="zh-CN"/>
        </w:rPr>
        <w:t xml:space="preserve">1.0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渣土防护率</w:t>
      </w:r>
      <w:r>
        <w:rPr>
          <w:rFonts w:hint="eastAsia" w:ascii="仿宋_GB2312" w:hAnsi="仿宋_GB2312" w:eastAsia="仿宋_GB2312" w:cs="仿宋_GB2312"/>
          <w:color w:val="auto"/>
          <w:sz w:val="32"/>
          <w:szCs w:val="32"/>
          <w:u w:val="single"/>
          <w:lang w:val="en-US" w:eastAsia="zh-CN"/>
        </w:rPr>
        <w:t xml:space="preserve"> 95</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林草植被恢复</w:t>
      </w:r>
      <w:bookmarkStart w:id="0" w:name="_GoBack"/>
      <w:bookmarkEnd w:id="0"/>
      <w:r>
        <w:rPr>
          <w:rFonts w:hint="eastAsia" w:ascii="仿宋_GB2312" w:hAnsi="仿宋_GB2312" w:eastAsia="仿宋_GB2312" w:cs="仿宋_GB2312"/>
          <w:color w:val="auto"/>
          <w:sz w:val="32"/>
          <w:szCs w:val="32"/>
          <w:lang w:val="en-US" w:eastAsia="zh-CN"/>
        </w:rPr>
        <w:t>率</w:t>
      </w:r>
      <w:r>
        <w:rPr>
          <w:rFonts w:hint="eastAsia" w:ascii="仿宋_GB2312" w:hAnsi="仿宋_GB2312" w:eastAsia="仿宋_GB2312" w:cs="仿宋_GB2312"/>
          <w:color w:val="auto"/>
          <w:sz w:val="32"/>
          <w:szCs w:val="32"/>
          <w:u w:val="single"/>
          <w:lang w:val="en-US" w:eastAsia="zh-CN"/>
        </w:rPr>
        <w:t xml:space="preserve"> 958</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，林草覆盖率</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w:t>
      </w:r>
    </w:p>
    <w:p w14:paraId="68BB5B41">
      <w:pPr>
        <w:spacing w:beforeLines="0" w:afterLines="0" w:line="572" w:lineRule="exact"/>
        <w:ind w:right="105" w:rightChars="50" w:firstLine="65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（四）</w:t>
      </w:r>
      <w:r>
        <w:rPr>
          <w:rFonts w:hint="eastAsia" w:ascii="仿宋_GB2312" w:hAnsi="仿宋_GB2312" w:eastAsia="仿宋_GB2312" w:cs="仿宋_GB2312"/>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highlight w:val="none"/>
          <w:lang w:eastAsia="zh-CN"/>
        </w:rPr>
        <w:t>同意建设期水土保持补偿费为</w:t>
      </w:r>
      <w:r>
        <w:rPr>
          <w:rFonts w:hint="eastAsia" w:ascii="仿宋_GB2312" w:hAnsi="仿宋_GB2312" w:eastAsia="仿宋_GB2312" w:cs="仿宋_GB2312"/>
          <w:color w:val="auto"/>
          <w:spacing w:val="4"/>
          <w:sz w:val="32"/>
          <w:szCs w:val="32"/>
          <w:highlight w:val="none"/>
          <w:u w:val="single"/>
          <w:lang w:val="en-US" w:eastAsia="zh-CN"/>
        </w:rPr>
        <w:t>10452.6</w:t>
      </w:r>
      <w:r>
        <w:rPr>
          <w:rFonts w:hint="eastAsia" w:ascii="仿宋_GB2312" w:hAnsi="仿宋_GB2312" w:eastAsia="仿宋_GB2312" w:cs="仿宋_GB2312"/>
          <w:color w:val="auto"/>
          <w:spacing w:val="4"/>
          <w:sz w:val="32"/>
          <w:szCs w:val="32"/>
          <w:highlight w:val="none"/>
          <w:lang w:eastAsia="zh-CN"/>
        </w:rPr>
        <w:t>元（补偿面</w:t>
      </w:r>
      <w:r>
        <w:rPr>
          <w:rFonts w:hint="eastAsia" w:ascii="仿宋_GB2312" w:hAnsi="仿宋_GB2312" w:eastAsia="仿宋_GB2312" w:cs="仿宋_GB2312"/>
          <w:color w:val="auto"/>
          <w:spacing w:val="4"/>
          <w:sz w:val="32"/>
          <w:szCs w:val="32"/>
          <w:highlight w:val="none"/>
          <w:lang w:val="en-US" w:eastAsia="zh-CN"/>
        </w:rPr>
        <w:t>积</w:t>
      </w:r>
      <w:r>
        <w:rPr>
          <w:rFonts w:hint="eastAsia" w:ascii="仿宋_GB2312" w:hAnsi="仿宋_GB2312" w:eastAsia="仿宋_GB2312" w:cs="仿宋_GB2312"/>
          <w:color w:val="auto"/>
          <w:spacing w:val="4"/>
          <w:kern w:val="2"/>
          <w:sz w:val="32"/>
          <w:szCs w:val="32"/>
          <w:highlight w:val="none"/>
          <w:u w:val="none"/>
          <w:lang w:val="en-US" w:eastAsia="zh-CN" w:bidi="ar"/>
        </w:rPr>
        <w:t>17421</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0.6</w:t>
      </w:r>
      <w:r>
        <w:rPr>
          <w:rFonts w:hint="eastAsia" w:ascii="仿宋_GB2312" w:hAnsi="仿宋_GB2312" w:eastAsia="仿宋_GB2312" w:cs="仿宋_GB2312"/>
          <w:color w:val="auto"/>
          <w:spacing w:val="4"/>
          <w:sz w:val="32"/>
          <w:szCs w:val="32"/>
          <w:highlight w:val="none"/>
          <w:lang w:eastAsia="zh-CN"/>
        </w:rPr>
        <w:t>元/㎡)，</w:t>
      </w:r>
      <w:r>
        <w:rPr>
          <w:rFonts w:hint="eastAsia" w:ascii="仿宋_GB2312" w:hAnsi="仿宋_GB2312" w:eastAsia="仿宋_GB2312" w:cs="仿宋_GB2312"/>
          <w:color w:val="auto"/>
          <w:spacing w:val="4"/>
          <w:sz w:val="32"/>
          <w:szCs w:val="32"/>
          <w:highlight w:val="none"/>
        </w:rPr>
        <w:t>根据《广东省发展改革委广东省财政厅广东省水利厅关于规范水土保持补偿费征收标准的通知》（粤发改价格〔2021〕231号）</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4"/>
          <w:sz w:val="32"/>
          <w:szCs w:val="32"/>
          <w:highlight w:val="none"/>
          <w:lang w:eastAsia="zh-CN"/>
        </w:rPr>
        <w:t>广东省发展改革委</w:t>
      </w:r>
      <w:r>
        <w:rPr>
          <w:rFonts w:hint="eastAsia" w:ascii="仿宋_GB2312" w:hAnsi="仿宋_GB2312" w:eastAsia="仿宋_GB2312" w:cs="仿宋_GB2312"/>
          <w:color w:val="auto"/>
          <w:spacing w:val="4"/>
          <w:sz w:val="32"/>
          <w:szCs w:val="32"/>
          <w:highlight w:val="none"/>
          <w:lang w:val="en-US" w:eastAsia="zh-CN"/>
        </w:rPr>
        <w:t>广东省财政厅</w:t>
      </w:r>
      <w:r>
        <w:rPr>
          <w:rFonts w:hint="eastAsia" w:ascii="仿宋_GB2312" w:hAnsi="仿宋_GB2312" w:eastAsia="仿宋_GB2312" w:cs="仿宋_GB2312"/>
          <w:color w:val="auto"/>
          <w:spacing w:val="4"/>
          <w:sz w:val="32"/>
          <w:szCs w:val="32"/>
          <w:highlight w:val="none"/>
        </w:rPr>
        <w:t>关于</w:t>
      </w:r>
      <w:r>
        <w:rPr>
          <w:rFonts w:hint="eastAsia" w:ascii="仿宋_GB2312" w:hAnsi="仿宋_GB2312" w:eastAsia="仿宋_GB2312" w:cs="仿宋_GB2312"/>
          <w:color w:val="auto"/>
          <w:spacing w:val="4"/>
          <w:sz w:val="32"/>
          <w:szCs w:val="32"/>
          <w:highlight w:val="none"/>
          <w:lang w:eastAsia="zh-CN"/>
        </w:rPr>
        <w:t>扩大部分涉企行政事业性收费</w:t>
      </w:r>
      <w:r>
        <w:rPr>
          <w:rFonts w:hint="eastAsia" w:ascii="仿宋_GB2312" w:hAnsi="仿宋_GB2312" w:eastAsia="仿宋_GB2312" w:cs="仿宋_GB2312"/>
          <w:color w:val="auto"/>
          <w:spacing w:val="4"/>
          <w:sz w:val="32"/>
          <w:szCs w:val="32"/>
          <w:highlight w:val="none"/>
        </w:rPr>
        <w:t>免征</w:t>
      </w:r>
      <w:r>
        <w:rPr>
          <w:rFonts w:hint="eastAsia" w:ascii="仿宋_GB2312" w:hAnsi="仿宋_GB2312" w:eastAsia="仿宋_GB2312" w:cs="仿宋_GB2312"/>
          <w:color w:val="auto"/>
          <w:spacing w:val="4"/>
          <w:sz w:val="32"/>
          <w:szCs w:val="32"/>
          <w:highlight w:val="none"/>
          <w:lang w:eastAsia="zh-CN"/>
        </w:rPr>
        <w:t>对象范围的</w:t>
      </w:r>
      <w:r>
        <w:rPr>
          <w:rFonts w:hint="eastAsia" w:ascii="仿宋_GB2312" w:hAnsi="仿宋_GB2312" w:eastAsia="仿宋_GB2312" w:cs="仿宋_GB2312"/>
          <w:color w:val="auto"/>
          <w:spacing w:val="4"/>
          <w:sz w:val="32"/>
          <w:szCs w:val="32"/>
          <w:highlight w:val="none"/>
        </w:rPr>
        <w:t>通知》（粤</w:t>
      </w:r>
      <w:r>
        <w:rPr>
          <w:rFonts w:hint="eastAsia" w:ascii="仿宋_GB2312" w:hAnsi="仿宋_GB2312" w:eastAsia="仿宋_GB2312" w:cs="仿宋_GB2312"/>
          <w:color w:val="auto"/>
          <w:spacing w:val="4"/>
          <w:sz w:val="32"/>
          <w:szCs w:val="32"/>
          <w:highlight w:val="none"/>
          <w:lang w:eastAsia="zh-CN"/>
        </w:rPr>
        <w:t>发改价格函</w:t>
      </w:r>
      <w:r>
        <w:rPr>
          <w:rFonts w:hint="eastAsia" w:ascii="仿宋_GB2312" w:hAnsi="仿宋_GB2312" w:eastAsia="仿宋_GB2312" w:cs="仿宋_GB2312"/>
          <w:color w:val="auto"/>
          <w:spacing w:val="4"/>
          <w:sz w:val="32"/>
          <w:szCs w:val="32"/>
          <w:highlight w:val="none"/>
        </w:rPr>
        <w:t>〔201</w:t>
      </w:r>
      <w:r>
        <w:rPr>
          <w:rFonts w:hint="eastAsia" w:ascii="仿宋_GB2312" w:hAnsi="仿宋_GB2312" w:eastAsia="仿宋_GB2312" w:cs="仿宋_GB2312"/>
          <w:color w:val="auto"/>
          <w:spacing w:val="4"/>
          <w:sz w:val="32"/>
          <w:szCs w:val="32"/>
          <w:highlight w:val="none"/>
          <w:lang w:val="en-US" w:eastAsia="zh-CN"/>
        </w:rPr>
        <w:t>9</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649</w:t>
      </w:r>
      <w:r>
        <w:rPr>
          <w:rFonts w:hint="eastAsia" w:ascii="仿宋_GB2312" w:hAnsi="仿宋_GB2312" w:eastAsia="仿宋_GB2312" w:cs="仿宋_GB2312"/>
          <w:color w:val="auto"/>
          <w:spacing w:val="4"/>
          <w:sz w:val="32"/>
          <w:szCs w:val="32"/>
          <w:highlight w:val="none"/>
        </w:rPr>
        <w:t>号）</w:t>
      </w:r>
      <w:r>
        <w:rPr>
          <w:rFonts w:hint="eastAsia" w:ascii="仿宋_GB2312" w:hAnsi="仿宋_GB2312" w:eastAsia="仿宋_GB2312" w:cs="仿宋_GB2312"/>
          <w:color w:val="auto"/>
          <w:spacing w:val="0"/>
          <w:sz w:val="32"/>
          <w:szCs w:val="32"/>
          <w:highlight w:val="none"/>
          <w:lang w:eastAsia="zh-CN"/>
        </w:rPr>
        <w:t>规</w:t>
      </w:r>
      <w:r>
        <w:rPr>
          <w:rFonts w:hint="eastAsia" w:ascii="仿宋_GB2312" w:hAnsi="仿宋_GB2312" w:eastAsia="仿宋_GB2312" w:cs="仿宋_GB2312"/>
          <w:color w:val="auto"/>
          <w:spacing w:val="4"/>
          <w:sz w:val="32"/>
          <w:szCs w:val="32"/>
          <w:highlight w:val="none"/>
          <w:lang w:eastAsia="zh-CN"/>
        </w:rPr>
        <w:t>定，</w:t>
      </w:r>
      <w:r>
        <w:rPr>
          <w:rFonts w:hint="eastAsia" w:ascii="仿宋_GB2312" w:hAnsi="仿宋_GB2312" w:eastAsia="仿宋_GB2312" w:cs="仿宋_GB2312"/>
          <w:color w:val="auto"/>
          <w:sz w:val="32"/>
          <w:szCs w:val="32"/>
          <w:highlight w:val="none"/>
          <w:lang w:eastAsia="zh-CN"/>
        </w:rPr>
        <w:t>该项目免征省级收入水土保</w:t>
      </w:r>
      <w:r>
        <w:rPr>
          <w:rFonts w:hint="eastAsia" w:ascii="仿宋_GB2312" w:hAnsi="仿宋_GB2312" w:eastAsia="仿宋_GB2312" w:cs="仿宋_GB2312"/>
          <w:color w:val="auto"/>
          <w:spacing w:val="4"/>
          <w:sz w:val="32"/>
          <w:szCs w:val="32"/>
          <w:highlight w:val="none"/>
          <w:lang w:eastAsia="zh-CN"/>
        </w:rPr>
        <w:t>持补偿费</w:t>
      </w:r>
      <w:r>
        <w:rPr>
          <w:rFonts w:hint="eastAsia" w:ascii="仿宋_GB2312" w:hAnsi="仿宋_GB2312" w:eastAsia="仿宋_GB2312" w:cs="仿宋_GB2312"/>
          <w:color w:val="auto"/>
          <w:spacing w:val="0"/>
          <w:sz w:val="32"/>
          <w:szCs w:val="32"/>
          <w:highlight w:val="none"/>
          <w:u w:val="single"/>
          <w:lang w:val="en-US" w:eastAsia="zh-CN"/>
        </w:rPr>
        <w:t>9407.34</w:t>
      </w:r>
      <w:r>
        <w:rPr>
          <w:rFonts w:hint="eastAsia" w:ascii="仿宋_GB2312" w:hAnsi="仿宋_GB2312" w:eastAsia="仿宋_GB2312" w:cs="仿宋_GB2312"/>
          <w:color w:val="auto"/>
          <w:spacing w:val="-6"/>
          <w:sz w:val="32"/>
          <w:szCs w:val="32"/>
          <w:highlight w:val="none"/>
          <w:u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4"/>
          <w:sz w:val="32"/>
          <w:szCs w:val="32"/>
          <w:highlight w:val="none"/>
          <w:lang w:eastAsia="zh-CN"/>
        </w:rPr>
        <w:t>，征收</w:t>
      </w:r>
      <w:r>
        <w:rPr>
          <w:rFonts w:hint="eastAsia" w:ascii="仿宋_GB2312" w:hAnsi="仿宋_GB2312" w:eastAsia="仿宋_GB2312" w:cs="仿宋_GB2312"/>
          <w:color w:val="auto"/>
          <w:spacing w:val="4"/>
          <w:sz w:val="32"/>
          <w:szCs w:val="32"/>
          <w:highlight w:val="none"/>
        </w:rPr>
        <w:t>省级代收上缴中央的</w:t>
      </w:r>
      <w:r>
        <w:rPr>
          <w:rFonts w:hint="eastAsia" w:ascii="仿宋_GB2312" w:hAnsi="仿宋_GB2312" w:eastAsia="仿宋_GB2312" w:cs="仿宋_GB2312"/>
          <w:color w:val="auto"/>
          <w:spacing w:val="4"/>
          <w:sz w:val="32"/>
          <w:szCs w:val="32"/>
          <w:highlight w:val="none"/>
          <w:lang w:eastAsia="zh-CN"/>
        </w:rPr>
        <w:t>水土保持补偿费</w:t>
      </w:r>
      <w:r>
        <w:rPr>
          <w:rFonts w:hint="eastAsia" w:ascii="仿宋_GB2312" w:hAnsi="仿宋_GB2312" w:eastAsia="仿宋_GB2312" w:cs="仿宋_GB2312"/>
          <w:color w:val="auto"/>
          <w:spacing w:val="0"/>
          <w:sz w:val="32"/>
          <w:szCs w:val="32"/>
          <w:highlight w:val="none"/>
          <w:u w:val="single"/>
          <w:lang w:val="en-US" w:eastAsia="zh-CN"/>
        </w:rPr>
        <w:t>1045.26</w:t>
      </w:r>
      <w:r>
        <w:rPr>
          <w:rFonts w:hint="eastAsia" w:ascii="仿宋_GB2312" w:hAnsi="仿宋_GB2312" w:eastAsia="仿宋_GB2312" w:cs="仿宋_GB2312"/>
          <w:color w:val="auto"/>
          <w:spacing w:val="-6"/>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B49954E">
      <w:pPr>
        <w:numPr>
          <w:ilvl w:val="0"/>
          <w:numId w:val="0"/>
        </w:numPr>
        <w:spacing w:beforeLines="0" w:afterLines="0" w:line="572" w:lineRule="exact"/>
        <w:ind w:right="105" w:rightChars="50" w:firstLine="640" w:firstLineChars="200"/>
        <w:rPr>
          <w:rFonts w:hint="eastAsia" w:ascii="仿宋_GB2312" w:hAnsi="仿宋_GB2312" w:eastAsia="仿宋_GB2312" w:cs="仿宋_GB2312"/>
          <w:sz w:val="32"/>
          <w:szCs w:val="32"/>
          <w:lang w:val="en-US" w:eastAsia="zh-CN"/>
        </w:rPr>
      </w:pPr>
    </w:p>
    <w:p w14:paraId="7B9599BC">
      <w:pPr>
        <w:widowControl/>
        <w:spacing w:beforeLines="0" w:afterLines="0" w:line="572" w:lineRule="exact"/>
        <w:ind w:left="1598" w:leftChars="304" w:hanging="960" w:hangingChars="3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auto"/>
          <w:kern w:val="2"/>
          <w:sz w:val="32"/>
          <w:szCs w:val="32"/>
          <w:u w:val="none"/>
          <w:lang w:val="en-US" w:eastAsia="zh-CN" w:bidi="ar"/>
        </w:rPr>
        <w:t>鸿胜发箱包生产</w:t>
      </w:r>
      <w:r>
        <w:rPr>
          <w:rFonts w:hint="eastAsia" w:ascii="仿宋_GB2312" w:hAnsi="仿宋_GB2312" w:eastAsia="仿宋_GB2312" w:cs="仿宋_GB2312"/>
          <w:kern w:val="2"/>
          <w:sz w:val="32"/>
          <w:szCs w:val="32"/>
          <w:u w:val="none"/>
          <w:lang w:val="en-US" w:eastAsia="zh-CN" w:bidi="ar"/>
        </w:rPr>
        <w:t>项目水土保持方案</w:t>
      </w:r>
      <w:r>
        <w:rPr>
          <w:rFonts w:hint="eastAsia" w:ascii="仿宋_GB2312" w:hAnsi="仿宋_GB2312" w:eastAsia="仿宋_GB2312" w:cs="仿宋_GB2312"/>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仿宋_GB2312" w:hAnsi="仿宋_GB2312" w:eastAsia="仿宋_GB2312" w:cs="仿宋_GB2312"/>
          <w:color w:val="000000"/>
          <w:sz w:val="32"/>
          <w:szCs w:val="32"/>
          <w:lang w:val="en-US" w:eastAsia="zh-CN"/>
        </w:rPr>
      </w:pPr>
    </w:p>
    <w:p w14:paraId="4812FFFA">
      <w:pPr>
        <w:spacing w:beforeLines="0" w:afterLines="0" w:line="572" w:lineRule="exact"/>
        <w:ind w:left="0" w:leftChars="0" w:firstLine="0" w:firstLineChars="0"/>
        <w:rPr>
          <w:rFonts w:hint="eastAsia" w:ascii="仿宋_GB2312" w:hAnsi="仿宋_GB2312" w:eastAsia="仿宋_GB2312" w:cs="仿宋_GB2312"/>
          <w:color w:val="000000"/>
          <w:sz w:val="32"/>
          <w:szCs w:val="32"/>
          <w:lang w:val="en-US" w:eastAsia="zh-CN"/>
        </w:rPr>
      </w:pPr>
    </w:p>
    <w:p w14:paraId="4CE4C9F8">
      <w:pPr>
        <w:spacing w:beforeLines="0" w:afterLines="0" w:line="572" w:lineRule="exact"/>
        <w:ind w:left="0" w:leftChars="0" w:firstLine="0" w:firstLineChars="0"/>
        <w:rPr>
          <w:rFonts w:hint="eastAsia" w:ascii="仿宋_GB2312" w:hAnsi="仿宋_GB2312" w:eastAsia="仿宋_GB2312" w:cs="仿宋_GB2312"/>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01297"/>
    <w:rsid w:val="40BC311A"/>
    <w:rsid w:val="4D5D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655</Characters>
  <Lines>0</Lines>
  <Paragraphs>0</Paragraphs>
  <TotalTime>2</TotalTime>
  <ScaleCrop>false</ScaleCrop>
  <LinksUpToDate>false</LinksUpToDate>
  <CharactersWithSpaces>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-陈 开 心。</cp:lastModifiedBy>
  <cp:lastPrinted>2026-01-12T02:00:57Z</cp:lastPrinted>
  <dcterms:modified xsi:type="dcterms:W3CDTF">2026-01-12T02:01:03Z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eyJoZGlkIjoiMzJjMzEyM2Q3ODhiNzI1ZDQ1NDNlOWYzYTU0MzhkY2IiLCJ1c2VySWQiOiI3MTE4ODk1NDIifQ==</vt:lpwstr>
  </property>
  <property fmtid="{D5CDD505-2E9C-101B-9397-08002B2CF9AE}" pid="4" name="ICV">
    <vt:lpwstr>C2DD44D7F59A472ABFF60ACF71A4807D_13</vt:lpwstr>
  </property>
</Properties>
</file>