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5102">
      <w:pPr>
        <w:widowControl/>
        <w:spacing w:beforeLines="0" w:afterLines="0" w:line="572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p w14:paraId="269F5E79">
      <w:pPr>
        <w:widowControl/>
        <w:spacing w:beforeLines="0" w:afterLines="0" w:line="572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</w:pPr>
    </w:p>
    <w:p w14:paraId="5C451AA8">
      <w:pPr>
        <w:widowControl/>
        <w:spacing w:beforeLines="0" w:afterLines="0" w:line="572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</w:pPr>
    </w:p>
    <w:p w14:paraId="56B94E13">
      <w:pPr>
        <w:widowControl/>
        <w:spacing w:beforeLines="0" w:afterLines="0" w:line="57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  <w:t>春城屠宰场新建项目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  <w:t>水土保持方案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  <w:t>告知书</w:t>
      </w:r>
    </w:p>
    <w:p w14:paraId="559E649D">
      <w:pPr>
        <w:widowControl/>
        <w:spacing w:beforeLines="0" w:afterLines="0" w:line="572" w:lineRule="exact"/>
        <w:ind w:firstLine="0" w:firstLineChars="0"/>
        <w:jc w:val="center"/>
        <w:rPr>
          <w:rFonts w:hint="eastAsia" w:ascii="Times New Roman" w:hAnsi="Times New Roman" w:eastAsia="黑体"/>
          <w:color w:val="auto"/>
          <w:spacing w:val="6"/>
          <w:sz w:val="32"/>
          <w:szCs w:val="32"/>
          <w:lang w:eastAsia="zh-CN"/>
        </w:rPr>
      </w:pPr>
    </w:p>
    <w:p w14:paraId="1BB7EBB1">
      <w:pPr>
        <w:spacing w:beforeLines="0" w:afterLines="0" w:line="572" w:lineRule="exact"/>
        <w:ind w:firstLine="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阳春市春州食品有限公司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"/>
        </w:rPr>
        <w:t>：</w:t>
      </w:r>
    </w:p>
    <w:p w14:paraId="7BDFFE97">
      <w:pPr>
        <w:spacing w:beforeLines="0" w:afterLines="0"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 w:bidi="ar"/>
        </w:rPr>
        <w:t>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 w:bidi="ar"/>
        </w:rPr>
        <w:t>对你单位申请的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"/>
        </w:rPr>
        <w:t>春城屠宰场新建项目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"/>
        </w:rPr>
        <w:t>水土保持方案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作出准予行政许可决定。为依法实施该项目的水土保持方案，依据《中华人民共和国水土保持法》、《广东省水土保持条例》的相关规定，告知如下：</w:t>
      </w:r>
    </w:p>
    <w:p w14:paraId="4D3FF66F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按照批准的水土保持方案，做好水土保持初步设计和施工图设计，加强施工组织等管理工作，切实落实水土保持“三同时”制度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117D3D1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严格按方案要求落实各项水土保持措施。各项施工活动要严格限定在用地范围内，严禁随意占压、扰动和破坏地表植被。做好表土剥离和弃渣综合利用。根据方案要求合理安排施工时序和水土保持措施实施进度，严格控制施工期可能造成的水土流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。 </w:t>
      </w:r>
    </w:p>
    <w:p w14:paraId="787B7E2B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请切实做好水土保持监测工作，加强水土流失动态监控。</w:t>
      </w:r>
    </w:p>
    <w:p w14:paraId="7E7156BB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做好水土保持监理工作，确保水土保持工程质量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54F56C7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落实报告制度。在项目开工建设后十五个工作日内向我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书面报告开工信息。</w:t>
      </w:r>
    </w:p>
    <w:p w14:paraId="2DCE56AC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尽快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缴纳水土保持补偿费。</w:t>
      </w:r>
    </w:p>
    <w:p w14:paraId="1C3E9A29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地点、规模如发生重大变化，或者水土保持方案实施过程中措施发生重大变更，应当补充或者修改水土保持方案，报我局审批。在水土保持方案确定的弃渣场外新设弃渣场的，或者需要提高弃渣场堆渣量达到20%以上的，应当在弃渣前编制水土保持方案（弃渣场补充）报告书，报我局审批。</w:t>
      </w:r>
    </w:p>
    <w:p w14:paraId="46678D87">
      <w:p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项目在竣工验收和投产使用前，你单位应对水土保持设施进行自主验收。水土保持设施未经验收或者验收不合格的，生产建设项目不得投产使用。</w:t>
      </w:r>
    </w:p>
    <w:p w14:paraId="295F77E5">
      <w:pPr>
        <w:numPr>
          <w:ilvl w:val="-1"/>
          <w:numId w:val="0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配合做好监督检查工作。我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将对水土保持方案的实施情况进行监督检查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应配合做好相关工作。</w:t>
      </w:r>
    </w:p>
    <w:p w14:paraId="4BA3D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如违反上述告知事项，将承担相应的法律责任。</w:t>
      </w:r>
    </w:p>
    <w:p w14:paraId="205DB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p w14:paraId="15D56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p w14:paraId="40260328">
      <w:pPr>
        <w:numPr>
          <w:ilvl w:val="0"/>
          <w:numId w:val="0"/>
        </w:numPr>
        <w:spacing w:line="572" w:lineRule="exact"/>
        <w:ind w:left="5758" w:leftChars="304" w:hanging="5120" w:hangingChars="16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阳春市水务局</w:t>
      </w:r>
    </w:p>
    <w:p w14:paraId="552290BC">
      <w:pPr>
        <w:numPr>
          <w:ilvl w:val="0"/>
          <w:numId w:val="0"/>
        </w:numPr>
        <w:spacing w:line="572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p w14:paraId="53047672"/>
    <w:sectPr>
      <w:pgSz w:w="11906" w:h="16838"/>
      <w:pgMar w:top="1440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4733A"/>
    <w:multiLevelType w:val="singleLevel"/>
    <w:tmpl w:val="5C94733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901AC"/>
    <w:rsid w:val="26503B7F"/>
    <w:rsid w:val="5ABA7A23"/>
    <w:rsid w:val="74871BEE"/>
    <w:rsid w:val="79C0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673</Characters>
  <Lines>0</Lines>
  <Paragraphs>0</Paragraphs>
  <TotalTime>38</TotalTime>
  <ScaleCrop>false</ScaleCrop>
  <LinksUpToDate>false</LinksUpToDate>
  <CharactersWithSpaces>812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2025-12-22T02:45:00Z</dcterms:created>
  <dc:creator>skype</dc:creator>
  <cp:lastModifiedBy>-陈 开 心。</cp:lastModifiedBy>
  <cp:lastPrinted>2026-02-11T02:41:15Z</cp:lastPrinted>
  <dcterms:modified xsi:type="dcterms:W3CDTF">2026-02-11T07:57:33Z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eyJoZGlkIjoiMzJjMzEyM2Q3ODhiNzI1ZDQ1NDNlOWYzYTU0MzhkY2IiLCJ1c2VySWQiOiI3MTE4ODk1NDIifQ==</vt:lpwstr>
  </property>
  <property fmtid="{D5CDD505-2E9C-101B-9397-08002B2CF9AE}" pid="4" name="ICV">
    <vt:lpwstr>42FE5054961A46FA8B29032E91220B7A_13</vt:lpwstr>
  </property>
</Properties>
</file>