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35" w:rsidRPr="005A25EC" w:rsidRDefault="004D7E35">
      <w:pPr>
        <w:rPr>
          <w:rFonts w:ascii="仿宋_GB2312" w:eastAsia="仿宋_GB2312" w:hAnsi="方正小标宋简体" w:cs="方正小标宋简体"/>
          <w:sz w:val="32"/>
          <w:szCs w:val="32"/>
        </w:rPr>
      </w:pPr>
      <w:r w:rsidRPr="005A25EC">
        <w:rPr>
          <w:rFonts w:ascii="仿宋_GB2312" w:eastAsia="仿宋_GB2312" w:hAnsi="方正小标宋简体" w:cs="方正小标宋简体" w:hint="eastAsia"/>
          <w:sz w:val="32"/>
          <w:szCs w:val="32"/>
        </w:rPr>
        <w:t>附件</w:t>
      </w:r>
      <w:r w:rsidRPr="005A25EC">
        <w:rPr>
          <w:rFonts w:ascii="仿宋_GB2312" w:eastAsia="仿宋_GB2312" w:hAnsi="方正小标宋简体" w:cs="方正小标宋简体"/>
          <w:sz w:val="32"/>
          <w:szCs w:val="32"/>
        </w:rPr>
        <w:t>2</w:t>
      </w:r>
      <w:r w:rsidRPr="005A25EC">
        <w:rPr>
          <w:rFonts w:ascii="仿宋_GB2312" w:eastAsia="仿宋_GB2312" w:hAnsi="方正小标宋简体" w:cs="方正小标宋简体" w:hint="eastAsia"/>
          <w:sz w:val="32"/>
          <w:szCs w:val="32"/>
        </w:rPr>
        <w:t>：</w:t>
      </w:r>
    </w:p>
    <w:p w:rsidR="004D7E35" w:rsidRDefault="004D7E35" w:rsidP="005A25EC">
      <w:pPr>
        <w:spacing w:line="780" w:lineRule="exact"/>
        <w:jc w:val="center"/>
        <w:rPr>
          <w:rFonts w:ascii="方正小标宋简体" w:eastAsia="方正小标宋简体" w:hAnsi="方正小标宋简体" w:cs="方正小标宋简体"/>
          <w:b/>
          <w:bCs/>
          <w:sz w:val="44"/>
          <w:szCs w:val="44"/>
        </w:rPr>
      </w:pPr>
      <w:r w:rsidRPr="005A25EC">
        <w:rPr>
          <w:rFonts w:ascii="方正小标宋简体" w:eastAsia="方正小标宋简体" w:hAnsi="方正小标宋简体" w:cs="方正小标宋简体"/>
          <w:b/>
          <w:bCs/>
          <w:sz w:val="44"/>
          <w:szCs w:val="44"/>
        </w:rPr>
        <w:t>2026</w:t>
      </w:r>
      <w:r w:rsidRPr="005A25EC">
        <w:rPr>
          <w:rFonts w:ascii="方正小标宋简体" w:eastAsia="方正小标宋简体" w:hAnsi="方正小标宋简体" w:cs="方正小标宋简体" w:hint="eastAsia"/>
          <w:b/>
          <w:bCs/>
          <w:sz w:val="44"/>
          <w:szCs w:val="44"/>
        </w:rPr>
        <w:t>年阳春市第一中学、阳春市第二中学、</w:t>
      </w:r>
    </w:p>
    <w:p w:rsidR="004D7E35" w:rsidRPr="005A25EC" w:rsidRDefault="004D7E35" w:rsidP="005A25EC">
      <w:pPr>
        <w:spacing w:line="780" w:lineRule="exact"/>
        <w:jc w:val="center"/>
        <w:rPr>
          <w:rFonts w:ascii="方正小标宋简体" w:eastAsia="方正小标宋简体" w:hAnsi="方正小标宋简体" w:cs="方正小标宋简体"/>
          <w:b/>
          <w:bCs/>
          <w:sz w:val="44"/>
          <w:szCs w:val="44"/>
        </w:rPr>
      </w:pPr>
      <w:r w:rsidRPr="005A25EC">
        <w:rPr>
          <w:rFonts w:ascii="方正小标宋简体" w:eastAsia="方正小标宋简体" w:hAnsi="方正小标宋简体" w:cs="方正小标宋简体" w:hint="eastAsia"/>
          <w:b/>
          <w:bCs/>
          <w:sz w:val="44"/>
          <w:szCs w:val="44"/>
        </w:rPr>
        <w:t>阳春市实验中学电脑随机派位</w:t>
      </w:r>
    </w:p>
    <w:p w:rsidR="004D7E35" w:rsidRPr="005A25EC" w:rsidRDefault="004D7E35" w:rsidP="005A25EC">
      <w:pPr>
        <w:spacing w:line="780" w:lineRule="exact"/>
        <w:jc w:val="center"/>
        <w:rPr>
          <w:rFonts w:ascii="方正小标宋简体" w:eastAsia="方正小标宋简体" w:hAnsi="方正小标宋简体" w:cs="方正小标宋简体"/>
          <w:b/>
          <w:bCs/>
          <w:sz w:val="44"/>
          <w:szCs w:val="44"/>
        </w:rPr>
      </w:pPr>
      <w:r w:rsidRPr="005A25EC">
        <w:rPr>
          <w:rFonts w:ascii="方正小标宋简体" w:eastAsia="方正小标宋简体" w:hAnsi="方正小标宋简体" w:cs="方正小标宋简体" w:hint="eastAsia"/>
          <w:b/>
          <w:bCs/>
          <w:sz w:val="44"/>
          <w:szCs w:val="44"/>
        </w:rPr>
        <w:t>招生录取实施方案</w:t>
      </w:r>
    </w:p>
    <w:p w:rsidR="004D7E35" w:rsidRDefault="004D7E35" w:rsidP="005A25EC">
      <w:pPr>
        <w:spacing w:line="780" w:lineRule="exact"/>
        <w:rPr>
          <w:rFonts w:ascii="仿宋_GB2312" w:eastAsia="仿宋_GB2312" w:hAnsi="仿宋_GB2312" w:cs="仿宋_GB2312"/>
          <w:sz w:val="32"/>
          <w:szCs w:val="32"/>
        </w:rPr>
      </w:pP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贯彻落实《广东省教育厅关于进一步规范普通中小学招生入学工作的指导意见》等有关文件精神和工作要求，结合我市实际情况，阳春市第一中学（以下简称“阳春一中”）、阳春市第二中学（以下简称“阳春二中”）、阳春市实验中学（以下简称“实验中学”）采取电脑随机派位的方式录取七年级（初中一年级）新生，为确保电脑随机派位工作公平、公开、公正，特制定本方案。</w:t>
      </w:r>
    </w:p>
    <w:p w:rsidR="004D7E35" w:rsidRDefault="004D7E35" w:rsidP="005A25EC">
      <w:pPr>
        <w:spacing w:line="660" w:lineRule="exact"/>
        <w:ind w:firstLineChars="200" w:firstLine="31680"/>
        <w:rPr>
          <w:rFonts w:ascii="仿宋_GB2312" w:eastAsia="仿宋_GB2312" w:hAnsi="仿宋_GB2312" w:cs="仿宋_GB2312"/>
          <w:sz w:val="32"/>
          <w:szCs w:val="32"/>
        </w:rPr>
      </w:pPr>
      <w:r w:rsidRPr="005A25EC">
        <w:rPr>
          <w:rFonts w:ascii="黑体" w:eastAsia="黑体" w:hAnsi="黑体" w:cs="仿宋_GB2312" w:hint="eastAsia"/>
          <w:b/>
          <w:bCs/>
          <w:sz w:val="32"/>
          <w:szCs w:val="32"/>
        </w:rPr>
        <w:t>一、组织单位：</w:t>
      </w:r>
      <w:r>
        <w:rPr>
          <w:rFonts w:ascii="仿宋_GB2312" w:eastAsia="仿宋_GB2312" w:hAnsi="仿宋_GB2312" w:cs="仿宋_GB2312" w:hint="eastAsia"/>
          <w:sz w:val="32"/>
          <w:szCs w:val="32"/>
        </w:rPr>
        <w:t>阳春市教育局</w:t>
      </w:r>
    </w:p>
    <w:p w:rsidR="004D7E35" w:rsidRDefault="004D7E35" w:rsidP="005A25EC">
      <w:pPr>
        <w:spacing w:line="660" w:lineRule="exact"/>
        <w:ind w:firstLineChars="200" w:firstLine="31680"/>
        <w:rPr>
          <w:rFonts w:ascii="仿宋_GB2312" w:eastAsia="仿宋_GB2312" w:hAnsi="仿宋_GB2312" w:cs="仿宋_GB2312"/>
          <w:sz w:val="32"/>
          <w:szCs w:val="32"/>
        </w:rPr>
      </w:pPr>
      <w:r w:rsidRPr="005A25EC">
        <w:rPr>
          <w:rFonts w:ascii="黑体" w:eastAsia="黑体" w:hAnsi="黑体" w:cs="仿宋_GB2312" w:hint="eastAsia"/>
          <w:b/>
          <w:bCs/>
          <w:sz w:val="32"/>
          <w:szCs w:val="32"/>
        </w:rPr>
        <w:t>二、派位学校：</w:t>
      </w:r>
      <w:r>
        <w:rPr>
          <w:rFonts w:ascii="仿宋_GB2312" w:eastAsia="仿宋_GB2312" w:hAnsi="仿宋_GB2312" w:cs="仿宋_GB2312" w:hint="eastAsia"/>
          <w:sz w:val="32"/>
          <w:szCs w:val="32"/>
        </w:rPr>
        <w:t>阳春一中、阳春二中、实验中学</w:t>
      </w:r>
    </w:p>
    <w:p w:rsidR="004D7E35" w:rsidRDefault="004D7E35" w:rsidP="005A25EC">
      <w:pPr>
        <w:spacing w:line="660" w:lineRule="exact"/>
        <w:ind w:firstLineChars="200" w:firstLine="31680"/>
        <w:rPr>
          <w:rFonts w:ascii="仿宋_GB2312" w:eastAsia="仿宋_GB2312" w:hAnsi="仿宋_GB2312" w:cs="仿宋_GB2312"/>
          <w:sz w:val="32"/>
          <w:szCs w:val="32"/>
        </w:rPr>
      </w:pPr>
      <w:r w:rsidRPr="005A25EC">
        <w:rPr>
          <w:rFonts w:ascii="黑体" w:eastAsia="黑体" w:hAnsi="黑体" w:cs="仿宋_GB2312" w:hint="eastAsia"/>
          <w:b/>
          <w:bCs/>
          <w:sz w:val="32"/>
          <w:szCs w:val="32"/>
        </w:rPr>
        <w:t>三、派位时间：</w:t>
      </w:r>
      <w:smartTag w:uri="urn:schemas-microsoft-com:office:smarttags" w:element="chsdate">
        <w:smartTagPr>
          <w:attr w:name="IsROCDate" w:val="False"/>
          <w:attr w:name="IsLunarDate" w:val="False"/>
          <w:attr w:name="Day" w:val="12"/>
          <w:attr w:name="Month" w:val="7"/>
          <w:attr w:name="Year" w:val="2026"/>
        </w:smartTagPr>
        <w:r>
          <w:rPr>
            <w:rFonts w:ascii="仿宋_GB2312" w:eastAsia="仿宋_GB2312" w:hAnsi="仿宋_GB2312" w:cs="仿宋_GB2312"/>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日</w:t>
        </w:r>
      </w:smartTag>
    </w:p>
    <w:p w:rsidR="004D7E35" w:rsidRDefault="004D7E35" w:rsidP="005A25EC">
      <w:pPr>
        <w:spacing w:line="660" w:lineRule="exact"/>
        <w:ind w:firstLineChars="200" w:firstLine="31680"/>
        <w:rPr>
          <w:rFonts w:ascii="仿宋_GB2312" w:eastAsia="仿宋_GB2312" w:hAnsi="仿宋_GB2312" w:cs="仿宋_GB2312"/>
          <w:sz w:val="32"/>
          <w:szCs w:val="32"/>
        </w:rPr>
      </w:pPr>
      <w:r w:rsidRPr="005A25EC">
        <w:rPr>
          <w:rFonts w:ascii="黑体" w:eastAsia="黑体" w:hAnsi="黑体" w:cs="仿宋_GB2312" w:hint="eastAsia"/>
          <w:b/>
          <w:bCs/>
          <w:sz w:val="32"/>
          <w:szCs w:val="32"/>
        </w:rPr>
        <w:t>四、派位地点：</w:t>
      </w:r>
      <w:r>
        <w:rPr>
          <w:rFonts w:ascii="仿宋_GB2312" w:eastAsia="仿宋_GB2312" w:hAnsi="仿宋_GB2312" w:cs="仿宋_GB2312" w:hint="eastAsia"/>
          <w:sz w:val="32"/>
          <w:szCs w:val="32"/>
        </w:rPr>
        <w:t>实验中学会议室</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五、派位资格</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网上申请就读阳春一中、阳春二中、实验中学七年级（初中一年级）并经学校审核符合电脑随机派位的招生对象（详见《</w:t>
      </w:r>
      <w:r>
        <w:rPr>
          <w:rFonts w:ascii="仿宋_GB2312" w:eastAsia="仿宋_GB2312" w:hAnsi="仿宋_GB2312" w:cs="仿宋_GB2312"/>
          <w:sz w:val="32"/>
          <w:szCs w:val="32"/>
        </w:rPr>
        <w:t>2026</w:t>
      </w:r>
      <w:r>
        <w:rPr>
          <w:rFonts w:ascii="仿宋_GB2312" w:eastAsia="仿宋_GB2312" w:hAnsi="仿宋_GB2312" w:cs="仿宋_GB2312" w:hint="eastAsia"/>
          <w:sz w:val="32"/>
          <w:szCs w:val="32"/>
        </w:rPr>
        <w:t>年阳春市义务教育学校招生方案》）。</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六、派位办法</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根据阳春一中、阳春二中、实验中学七年级（初中一年级）招生计划数进行电脑随机派位录取。</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七、派位程序</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（一）派位前准备工作</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参与人员。电脑随机派位前，邀请公证机构人员、纪检人员、人大代表、政协委员、城区中小学学校代表以及学生家长代表于派位当天前往现场监督。</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场地及后勤准备。提前做好现场各类人员的座位安排，入场指引；安排人员做好参加人员身份的检查；保障电脑随机派位所需设备和物品供应；电脑随机派位工作要求全程录像，提前落实拍摄人员以及录像器材准备。</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设备准备。提前安装和检测电脑随机派位现场所需的电脑、投影屏是否正常运作，做好电脑随机派位工作全程技术支持，确保电脑随机派位过程平稳顺利。</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（二）现场电脑随机派位流程</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第一步，开启设备和导入派位数据</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电脑随机派位当天，电脑技术人员在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名或以上公证人员的监督下开启电脑随机派位录取的电脑，并确保该电脑处于断网单机状态。</w:t>
      </w:r>
    </w:p>
    <w:p w:rsidR="004D7E35" w:rsidRDefault="004D7E35" w:rsidP="005A25EC">
      <w:pPr>
        <w:spacing w:line="660" w:lineRule="exact"/>
        <w:rPr>
          <w:rFonts w:ascii="仿宋_GB2312" w:eastAsia="仿宋_GB2312" w:hAnsi="仿宋_GB2312" w:cs="仿宋_GB2312"/>
          <w:sz w:val="32"/>
          <w:szCs w:val="32"/>
        </w:rPr>
      </w:pP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第二步，宣布派位计划数和待派位人数</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市教育局工作人员宣布派位计划数，以及参加电脑随机派位的“待派位”学生人数。</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第三步，随机产生“派位号”</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由电脑技术人员统一通过电脑随机派位录取程序随机为每个待派位学生产生“派位号”。</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备选“派位号”的产生</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为确保“派位号”的产生无人为因素控制，先产生</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组备选“派位号”，然后在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组备选“派位号”中摇选其中一组为正式“派位号”。</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正式“派位号”的产生</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备选“派位号”产生后，在抽号箱放入</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号乒乓球作为抽号球，由家长代表在抽号箱随机抽号的方式，确定其中一组备选“派位号”为正式“派位号”。</w:t>
      </w:r>
    </w:p>
    <w:p w:rsidR="004D7E35" w:rsidRDefault="004D7E35" w:rsidP="00DC4CD4">
      <w:pPr>
        <w:ind w:firstLineChars="200" w:firstLine="31680"/>
        <w:rPr>
          <w:rFonts w:ascii="仿宋_GB2312" w:eastAsia="仿宋_GB2312" w:hAnsi="仿宋_GB2312" w:cs="仿宋_GB2312"/>
          <w:sz w:val="32"/>
          <w:szCs w:val="3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7.8pt;margin-top:11.55pt;width:427.45pt;height:161.25pt;z-index:251658240" o:gfxdata="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4mLQdUAAAAJAQAADwAAAAAAAAABACAAAAAiAAAAZHJzL2Rvd25yZXYueG1sUEsBAhQAFAAA&#10;AAgAh07iQGsAut9kAgAAxAQAAA4AAAAAAAAAAQAgAAAAJAEAAGRycy9lMm9Eb2MueG1sUEsFBgAA&#10;AAAGAAYAWQEAAPoFAAAAAA==&#10;" strokeweight=".5pt">
            <v:stroke joinstyle="round"/>
            <v:textbox>
              <w:txbxContent>
                <w:p w:rsidR="004D7E35" w:rsidRDefault="004D7E35">
                  <w:pPr>
                    <w:rPr>
                      <w:rFonts w:ascii="仿宋_GB2312" w:eastAsia="仿宋_GB2312" w:hAnsi="仿宋_GB2312" w:cs="仿宋_GB2312"/>
                      <w:sz w:val="28"/>
                      <w:szCs w:val="28"/>
                    </w:rPr>
                  </w:pPr>
                  <w:r>
                    <w:rPr>
                      <w:rFonts w:ascii="仿宋_GB2312" w:eastAsia="仿宋_GB2312" w:hAnsi="仿宋_GB2312" w:cs="仿宋_GB2312" w:hint="eastAsia"/>
                      <w:sz w:val="28"/>
                      <w:szCs w:val="28"/>
                    </w:rPr>
                    <w:t>举例：</w:t>
                  </w:r>
                </w:p>
                <w:p w:rsidR="004D7E35" w:rsidRDefault="004D7E35" w:rsidP="00DC4CD4">
                  <w:pPr>
                    <w:ind w:firstLineChars="200" w:firstLine="31680"/>
                    <w:rPr>
                      <w:sz w:val="28"/>
                      <w:szCs w:val="28"/>
                    </w:rPr>
                  </w:pPr>
                  <w:r>
                    <w:rPr>
                      <w:rFonts w:ascii="仿宋_GB2312" w:eastAsia="仿宋_GB2312" w:hAnsi="仿宋_GB2312" w:cs="仿宋_GB2312" w:hint="eastAsia"/>
                      <w:sz w:val="28"/>
                      <w:szCs w:val="28"/>
                    </w:rPr>
                    <w:t>工作人员在抽号箱里放入</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号共</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个乒乓球作为抽号球，由家长代表现场抽出其中一个号球。如抽出的号球为“</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”，就以第</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组备选“派位号”作为正式“派位号”；如抽出的号球为“</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”，就以第</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组备选“派位号”作为正式“派位号”。</w:t>
                  </w:r>
                </w:p>
              </w:txbxContent>
            </v:textbox>
          </v:shape>
        </w:pict>
      </w: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DC4CD4">
      <w:pPr>
        <w:ind w:firstLineChars="200" w:firstLine="31680"/>
        <w:rPr>
          <w:rFonts w:ascii="仿宋_GB2312" w:eastAsia="仿宋_GB2312" w:hAnsi="仿宋_GB2312" w:cs="仿宋_GB2312"/>
          <w:sz w:val="32"/>
          <w:szCs w:val="32"/>
        </w:rPr>
      </w:pP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家长代表现场只能抽出一个号球，否则视为无效，需重新抽号。</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第四步，按计划数随机录取</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电脑技术人员通过电脑随机派位录取程序，根据阳春一中、阳春二中、实验中学的派位计划数随机录取，额满为止。</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电脑技术人员通过电脑随机派位录取程序完成录取后，将派位号数据以及录</w:t>
      </w:r>
      <w:bookmarkStart w:id="0" w:name="_GoBack"/>
      <w:bookmarkEnd w:id="0"/>
      <w:r>
        <w:rPr>
          <w:rFonts w:ascii="仿宋_GB2312" w:eastAsia="仿宋_GB2312" w:hAnsi="仿宋_GB2312" w:cs="仿宋_GB2312" w:hint="eastAsia"/>
          <w:sz w:val="32"/>
          <w:szCs w:val="32"/>
        </w:rPr>
        <w:t>取结果拷贝给公证人员存档。</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第五步，公证人员宣读公证结果，电脑技术人员将录取结果拷贝到光盘或</w:t>
      </w:r>
      <w:r>
        <w:rPr>
          <w:rFonts w:ascii="仿宋_GB2312" w:eastAsia="仿宋_GB2312" w:hAnsi="仿宋_GB2312" w:cs="仿宋_GB2312"/>
          <w:sz w:val="32"/>
          <w:szCs w:val="32"/>
        </w:rPr>
        <w:t>U</w:t>
      </w:r>
      <w:r>
        <w:rPr>
          <w:rFonts w:ascii="仿宋_GB2312" w:eastAsia="仿宋_GB2312" w:hAnsi="仿宋_GB2312" w:cs="仿宋_GB2312" w:hint="eastAsia"/>
          <w:sz w:val="32"/>
          <w:szCs w:val="32"/>
        </w:rPr>
        <w:t>盘，并用信封装好密封；教育部门负责人，公证人员、人大代表、政协委员代表、纪检人员在信封上签名。</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电脑技术人员将录取结果导入“招生平台”，学生家长可以在招生平台查看个人派位结果。</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八、学位安排</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己录取的学生应按照学校相关要求按时注册，不按时注册的学生视为放弃该学校学位。未被派位学校录取的自动进入原片区学校参与正常录取流程。</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九、应急处置</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在每所学校电脑随机派位过程中，如发生电脑、软件故障，应启用备用电脑重新进行，故障发生前已经电脑随机派位产生的结果作废。如启用备用电脑后仍发生故障，且在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小时内无法排除，导致电脑随机派位招生录取活动无法继续的，应当终止本次电脑随机派位招生录取活动，另行选择时间重新举行电脑随机派位招生录取活动，故障发生前已经电脑随机派位产生的结果作废。如电脑随机派位招生录取活动现场发生纷争、秩序混乱或发生其他可能影响电脑随机派位招生录取活动正常进行的情形，无法当场解决的，则终止本次电脑随机派位招生录取活动，另行选择时间重新举行电脑随机派位招生录取活动，终止前已经电脑随机派位产生的结果作废。</w:t>
      </w:r>
    </w:p>
    <w:p w:rsidR="004D7E35" w:rsidRPr="005A25EC" w:rsidRDefault="004D7E35" w:rsidP="005A25EC">
      <w:pPr>
        <w:spacing w:line="660" w:lineRule="exact"/>
        <w:ind w:firstLineChars="200" w:firstLine="31680"/>
        <w:rPr>
          <w:rFonts w:ascii="黑体" w:eastAsia="黑体" w:hAnsi="黑体" w:cs="仿宋_GB2312"/>
          <w:b/>
          <w:bCs/>
          <w:sz w:val="32"/>
          <w:szCs w:val="32"/>
        </w:rPr>
      </w:pPr>
      <w:r w:rsidRPr="005A25EC">
        <w:rPr>
          <w:rFonts w:ascii="黑体" w:eastAsia="黑体" w:hAnsi="黑体" w:cs="仿宋_GB2312" w:hint="eastAsia"/>
          <w:b/>
          <w:bCs/>
          <w:sz w:val="32"/>
          <w:szCs w:val="32"/>
        </w:rPr>
        <w:t>十、最终解释权</w:t>
      </w:r>
    </w:p>
    <w:p w:rsidR="004D7E35" w:rsidRDefault="004D7E35" w:rsidP="005A25EC">
      <w:pPr>
        <w:spacing w:line="6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学生电脑随机派位资格审查及随机派位流程由阳春市教育局负责解释；电脑随机派位软件问题由软件开发公司负责解释；电脑随机派位程序公开、公平、公正问题由阳春市公证处负责解释。</w:t>
      </w:r>
    </w:p>
    <w:sectPr w:rsidR="004D7E35" w:rsidSect="00B31BD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E35" w:rsidRDefault="004D7E35" w:rsidP="00B31BDE">
      <w:r>
        <w:separator/>
      </w:r>
    </w:p>
  </w:endnote>
  <w:endnote w:type="continuationSeparator" w:id="0">
    <w:p w:rsidR="004D7E35" w:rsidRDefault="004D7E35" w:rsidP="00B31B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35" w:rsidRDefault="004D7E3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D7E35" w:rsidRDefault="004D7E35">
                <w:pPr>
                  <w:pStyle w:val="Footer"/>
                </w:pPr>
                <w:fldSimple w:instr=" PAGE  \* MERGEFORMAT ">
                  <w:r>
                    <w:rPr>
                      <w:noProof/>
                    </w:rPr>
                    <w:t>- 1 -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E35" w:rsidRDefault="004D7E35" w:rsidP="00B31BDE">
      <w:r>
        <w:separator/>
      </w:r>
    </w:p>
  </w:footnote>
  <w:footnote w:type="continuationSeparator" w:id="0">
    <w:p w:rsidR="004D7E35" w:rsidRDefault="004D7E35" w:rsidP="00B31B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2VlNDUyMWNjZWM1NjdmZDA3ODYxYTJiOGEzODE1YzcifQ=="/>
    <w:docVar w:name="KSO_WPS_MARK_KEY" w:val="8775db2b-0b28-46a1-8587-03802757fab2"/>
  </w:docVars>
  <w:rsids>
    <w:rsidRoot w:val="00B31BDE"/>
    <w:rsid w:val="004D7E35"/>
    <w:rsid w:val="005A25EC"/>
    <w:rsid w:val="005E42A2"/>
    <w:rsid w:val="009B5437"/>
    <w:rsid w:val="00A8522A"/>
    <w:rsid w:val="00B31BDE"/>
    <w:rsid w:val="00DC4CD4"/>
    <w:rsid w:val="14FE69F4"/>
    <w:rsid w:val="1EFD4231"/>
    <w:rsid w:val="20986724"/>
    <w:rsid w:val="22E00C06"/>
    <w:rsid w:val="25086BFB"/>
    <w:rsid w:val="2D5D12A1"/>
    <w:rsid w:val="34624480"/>
    <w:rsid w:val="3A891129"/>
    <w:rsid w:val="42707BEA"/>
    <w:rsid w:val="433E6169"/>
    <w:rsid w:val="4E7A437B"/>
    <w:rsid w:val="55BE6B72"/>
    <w:rsid w:val="5870440E"/>
    <w:rsid w:val="6207751C"/>
    <w:rsid w:val="6343670A"/>
    <w:rsid w:val="641F364D"/>
    <w:rsid w:val="672E7431"/>
    <w:rsid w:val="735D1A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D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1BD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1F09B2"/>
    <w:rPr>
      <w:sz w:val="18"/>
      <w:szCs w:val="18"/>
    </w:rPr>
  </w:style>
  <w:style w:type="paragraph" w:styleId="Header">
    <w:name w:val="header"/>
    <w:basedOn w:val="Normal"/>
    <w:link w:val="HeaderChar"/>
    <w:uiPriority w:val="99"/>
    <w:rsid w:val="00B31B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1F09B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226</TotalTime>
  <Pages>5</Pages>
  <Words>264</Words>
  <Characters>1509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YCHYUSER</cp:lastModifiedBy>
  <cp:revision>4</cp:revision>
  <cp:lastPrinted>2026-06-04T03:41:00Z</cp:lastPrinted>
  <dcterms:created xsi:type="dcterms:W3CDTF">2024-06-04T07:16:00Z</dcterms:created>
  <dcterms:modified xsi:type="dcterms:W3CDTF">2026-06-04T03:41:00Z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2A13B5A7C7A94965B6B487E87FF9ACE8_12</vt:lpwstr>
  </property>
  <property fmtid="{D5CDD505-2E9C-101B-9397-08002B2CF9AE}" pid="4" name="KSOTemplateDocerSaveRecord">
    <vt:lpwstr>eyJoZGlkIjoiMTZhOWRkOWFmYjRkZGFkZjI4MjdkNjhiYjBiYTQyNTUiLCJ1c2VySWQiOiI1NzY5NTM3NTIifQ==</vt:lpwstr>
  </property>
</Properties>
</file>