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579" w:lineRule="exact"/>
        <w:ind w:firstLine="640" w:firstLineChars="200"/>
        <w:rPr>
          <w:rFonts w:eastAsia="方正仿宋简体"/>
          <w:sz w:val="32"/>
          <w:szCs w:val="32"/>
        </w:rPr>
      </w:pPr>
      <w:bookmarkStart w:id="1" w:name="_GoBack"/>
      <w:bookmarkEnd w:id="1"/>
      <w:permStart w:id="0" w:edGrp="everyone"/>
      <w:permEnd w:id="0"/>
    </w:p>
    <w:p>
      <w:pPr>
        <w:pStyle w:val="40"/>
      </w:pPr>
    </w:p>
    <w:p>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eastAsia="方正仿宋简体"/>
          <w:sz w:val="32"/>
          <w:szCs w:val="32"/>
        </w:rPr>
      </w:pPr>
      <w:r>
        <w:rPr>
          <w:rFonts w:eastAsia="方正仿宋简体"/>
          <w:sz w:val="32"/>
          <w:szCs w:val="32"/>
        </w:rPr>
        <w:t>阳环（春）建审〔202</w:t>
      </w:r>
      <w:r>
        <w:rPr>
          <w:rFonts w:hint="eastAsia" w:eastAsia="方正仿宋简体"/>
          <w:sz w:val="32"/>
          <w:szCs w:val="32"/>
          <w:lang w:val="en-US" w:eastAsia="zh-CN"/>
        </w:rPr>
        <w:t>6</w:t>
      </w:r>
      <w:r>
        <w:rPr>
          <w:rFonts w:eastAsia="方正仿宋简体"/>
          <w:sz w:val="32"/>
          <w:szCs w:val="32"/>
        </w:rPr>
        <w:t>〕</w:t>
      </w:r>
      <w:r>
        <w:rPr>
          <w:rFonts w:hint="eastAsia" w:eastAsia="方正仿宋简体"/>
          <w:sz w:val="32"/>
          <w:szCs w:val="32"/>
          <w:lang w:val="en-US" w:eastAsia="zh-CN"/>
        </w:rPr>
        <w:t>11</w:t>
      </w:r>
      <w:r>
        <w:rPr>
          <w:rFonts w:eastAsia="方正仿宋简体"/>
          <w:sz w:val="32"/>
          <w:szCs w:val="32"/>
        </w:rPr>
        <w:t>号</w:t>
      </w:r>
    </w:p>
    <w:p>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eastAsia="方正仿宋简体"/>
          <w:sz w:val="32"/>
          <w:szCs w:val="32"/>
        </w:rPr>
      </w:pP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eastAsia="方正小标宋简体"/>
          <w:sz w:val="40"/>
          <w:szCs w:val="40"/>
          <w:lang w:val="en-US" w:eastAsia="zh-CN"/>
        </w:rPr>
      </w:pPr>
      <w:bookmarkStart w:id="0" w:name="OLE_LINK5"/>
      <w:r>
        <w:rPr>
          <w:rFonts w:hint="eastAsia" w:ascii="方正小标宋简体" w:eastAsia="方正小标宋简体"/>
          <w:sz w:val="40"/>
          <w:szCs w:val="40"/>
        </w:rPr>
        <w:t>阳江市生态环境局关于</w:t>
      </w:r>
      <w:r>
        <w:rPr>
          <w:rFonts w:hint="eastAsia" w:ascii="方正小标宋简体" w:eastAsia="方正小标宋简体"/>
          <w:sz w:val="40"/>
          <w:szCs w:val="40"/>
          <w:lang w:val="en-US" w:eastAsia="zh-CN"/>
        </w:rPr>
        <w:t>阳春市中医院迁建项目</w:t>
      </w:r>
    </w:p>
    <w:p>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eastAsia" w:ascii="方正小标宋简体" w:eastAsia="方正小标宋简体"/>
          <w:sz w:val="40"/>
          <w:szCs w:val="40"/>
        </w:rPr>
      </w:pPr>
      <w:r>
        <w:rPr>
          <w:rFonts w:hint="eastAsia" w:ascii="方正小标宋简体" w:eastAsia="方正小标宋简体"/>
          <w:sz w:val="40"/>
          <w:szCs w:val="40"/>
          <w:lang w:val="en-US" w:eastAsia="zh-CN"/>
        </w:rPr>
        <w:t>（二期）生态</w:t>
      </w:r>
      <w:r>
        <w:rPr>
          <w:rFonts w:hint="eastAsia" w:ascii="方正小标宋简体" w:eastAsia="方正小标宋简体"/>
          <w:sz w:val="40"/>
          <w:szCs w:val="40"/>
        </w:rPr>
        <w:t>环境影响报告表的批复</w:t>
      </w:r>
    </w:p>
    <w:bookmarkEnd w:id="0"/>
    <w:p>
      <w:pPr>
        <w:keepNext w:val="0"/>
        <w:keepLines w:val="0"/>
        <w:pageBreakBefore w:val="0"/>
        <w:widowControl w:val="0"/>
        <w:kinsoku/>
        <w:wordWrap/>
        <w:overflowPunct/>
        <w:topLinePunct w:val="0"/>
        <w:autoSpaceDE/>
        <w:autoSpaceDN/>
        <w:bidi w:val="0"/>
        <w:adjustRightInd/>
        <w:snapToGrid/>
        <w:spacing w:line="620" w:lineRule="exact"/>
        <w:textAlignment w:val="auto"/>
        <w:rPr>
          <w:rFonts w:hint="eastAsia" w:eastAsia="方正仿宋简体"/>
          <w:sz w:val="32"/>
          <w:szCs w:val="32"/>
        </w:rPr>
      </w:pPr>
    </w:p>
    <w:p>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阳春市中医院</w:t>
      </w:r>
      <w:r>
        <w:rPr>
          <w:rFonts w:hint="eastAsia" w:ascii="仿宋_GB2312" w:hAnsi="仿宋_GB2312" w:eastAsia="仿宋_GB2312" w:cs="仿宋_GB2312"/>
          <w:sz w:val="32"/>
          <w:szCs w:val="32"/>
        </w:rPr>
        <w:t>：</w:t>
      </w:r>
    </w:p>
    <w:p>
      <w:pPr>
        <w:keepNext w:val="0"/>
        <w:keepLines w:val="0"/>
        <w:pageBreakBefore w:val="0"/>
        <w:widowControl w:val="0"/>
        <w:kinsoku/>
        <w:wordWrap/>
        <w:overflowPunct/>
        <w:topLinePunct w:val="0"/>
        <w:bidi w:val="0"/>
        <w:snapToGrid/>
        <w:spacing w:line="60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你单位报批的《</w:t>
      </w:r>
      <w:r>
        <w:rPr>
          <w:rFonts w:hint="eastAsia" w:ascii="仿宋_GB2312" w:hAnsi="仿宋_GB2312" w:eastAsia="仿宋_GB2312" w:cs="仿宋_GB2312"/>
          <w:sz w:val="32"/>
          <w:szCs w:val="32"/>
          <w:lang w:val="en-US" w:eastAsia="zh-CN"/>
        </w:rPr>
        <w:t>阳春市中医院迁建项目（二期）生态</w:t>
      </w:r>
      <w:r>
        <w:rPr>
          <w:rFonts w:hint="eastAsia" w:ascii="仿宋_GB2312" w:hAnsi="仿宋_GB2312" w:eastAsia="仿宋_GB2312" w:cs="仿宋_GB2312"/>
          <w:sz w:val="32"/>
          <w:szCs w:val="32"/>
        </w:rPr>
        <w:t>环境影响报告表》（以下简称《报告表》）等材料</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收悉。经研究，现根据《中华人民共和国环境保护法》、《中华人民共和国环境影响评价法》，批复如下：</w:t>
      </w:r>
    </w:p>
    <w:p>
      <w:pPr>
        <w:pStyle w:val="2"/>
        <w:keepNext w:val="0"/>
        <w:keepLines w:val="0"/>
        <w:pageBreakBefore w:val="0"/>
        <w:widowControl w:val="0"/>
        <w:numPr>
          <w:ilvl w:val="0"/>
          <w:numId w:val="3"/>
        </w:numPr>
        <w:kinsoku/>
        <w:wordWrap/>
        <w:overflowPunct/>
        <w:topLinePunct w:val="0"/>
        <w:bidi w:val="0"/>
        <w:snapToGrid/>
        <w:spacing w:line="60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拟选址位于广东省阳江市广东省阳江市阳春市春城街道阳春大道西侧头堡村委会永安村（市中等职业技术学校斜对面），总投资35000万元，其中环保投资350万元。原一期工程（现建设中）为1栋4层的门诊楼、1栋5层的医技楼、1栋16层的内科住院楼、1栋8层的外科住院楼、1栋2层的发热门诊以及污水处理站，设置住院床位600张，预计年接门诊患者91.25万人次。劳动定员1050人（其中医务人员850人，行政后勤人员200人），在院内食堂吃饭，不在院内住宿，年运营为365天，实行3班制，每班工作8小时。</w:t>
      </w:r>
    </w:p>
    <w:p>
      <w:pPr>
        <w:pStyle w:val="2"/>
        <w:keepNext w:val="0"/>
        <w:keepLines w:val="0"/>
        <w:pageBreakBefore w:val="0"/>
        <w:widowControl w:val="0"/>
        <w:numPr>
          <w:ilvl w:val="0"/>
          <w:numId w:val="0"/>
        </w:numPr>
        <w:kinsoku/>
        <w:wordWrap/>
        <w:overflowPunct/>
        <w:topLinePunct w:val="0"/>
        <w:bidi w:val="0"/>
        <w:snapToGrid/>
        <w:spacing w:line="60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项目（二期）占地面积约39000m</w:t>
      </w:r>
      <w:r>
        <w:rPr>
          <w:rFonts w:hint="eastAsia" w:ascii="仿宋_GB2312" w:hAnsi="仿宋_GB2312" w:eastAsia="仿宋_GB2312" w:cs="仿宋_GB2312"/>
          <w:sz w:val="32"/>
          <w:szCs w:val="32"/>
          <w:vertAlign w:val="superscript"/>
          <w:lang w:val="en-US" w:eastAsia="zh-CN"/>
        </w:rPr>
        <w:t>2</w:t>
      </w:r>
      <w:r>
        <w:rPr>
          <w:rFonts w:hint="eastAsia" w:ascii="仿宋_GB2312" w:hAnsi="仿宋_GB2312" w:eastAsia="仿宋_GB2312" w:cs="仿宋_GB2312"/>
          <w:sz w:val="32"/>
          <w:szCs w:val="32"/>
          <w:lang w:val="en-US" w:eastAsia="zh-CN"/>
        </w:rPr>
        <w:t>，建筑面积约33630m</w:t>
      </w:r>
      <w:r>
        <w:rPr>
          <w:rFonts w:hint="eastAsia" w:ascii="仿宋_GB2312" w:hAnsi="仿宋_GB2312" w:eastAsia="仿宋_GB2312" w:cs="仿宋_GB2312"/>
          <w:sz w:val="32"/>
          <w:szCs w:val="32"/>
          <w:vertAlign w:val="superscript"/>
          <w:lang w:val="en-US" w:eastAsia="zh-CN"/>
        </w:rPr>
        <w:t>2</w:t>
      </w:r>
      <w:r>
        <w:rPr>
          <w:rFonts w:hint="eastAsia" w:ascii="仿宋_GB2312" w:hAnsi="仿宋_GB2312" w:eastAsia="仿宋_GB2312" w:cs="仿宋_GB2312"/>
          <w:sz w:val="32"/>
          <w:szCs w:val="32"/>
          <w:lang w:val="en-US" w:eastAsia="zh-CN"/>
        </w:rPr>
        <w:t>，拟建1栋13层医共体综合大楼、1栋5层院内生活楼、1栋2层感染楼、1栋高压氧房、1栋垃圾房与太平间、1栋污水处理用房及生活配套用房，设置住院床位200张，预计年接门诊患者23.725万人次。劳动定员839人（其中医务人员705人，行政后勤人员134人），在院内食堂吃饭，不在院内住宿，年运营为365天，实行3班制，每班工作8小时。</w:t>
      </w:r>
    </w:p>
    <w:p>
      <w:pPr>
        <w:pStyle w:val="2"/>
        <w:keepNext w:val="0"/>
        <w:keepLines w:val="0"/>
        <w:pageBreakBefore w:val="0"/>
        <w:widowControl w:val="0"/>
        <w:numPr>
          <w:ilvl w:val="0"/>
          <w:numId w:val="0"/>
        </w:numPr>
        <w:kinsoku/>
        <w:wordWrap/>
        <w:overflowPunct/>
        <w:topLinePunct w:val="0"/>
        <w:bidi w:val="0"/>
        <w:snapToGrid/>
        <w:spacing w:line="600" w:lineRule="exact"/>
        <w:ind w:firstLine="640" w:firstLineChars="200"/>
        <w:jc w:val="left"/>
        <w:rPr>
          <w:rFonts w:hint="default" w:ascii="仿宋_GB2312" w:hAnsi="仿宋_GB2312" w:eastAsia="仿宋_GB2312" w:cs="仿宋_GB2312"/>
          <w:color w:val="auto"/>
          <w:kern w:val="2"/>
          <w:sz w:val="32"/>
          <w:szCs w:val="32"/>
          <w:lang w:val="en-US" w:eastAsia="zh-CN" w:bidi="ar-SA"/>
        </w:rPr>
      </w:pPr>
      <w:r>
        <w:rPr>
          <w:rFonts w:hint="eastAsia" w:ascii="仿宋_GB2312" w:hAnsi="仿宋_GB2312" w:eastAsia="仿宋_GB2312" w:cs="仿宋_GB2312"/>
          <w:sz w:val="32"/>
          <w:szCs w:val="32"/>
          <w:lang w:val="en-US" w:eastAsia="zh-CN"/>
        </w:rPr>
        <w:t>项目建成后全院设置住院床位800张，预计年接门诊患者114.975万人次，劳动定员1889人（其中医务人员1555人，行政后勤人员334人）。</w:t>
      </w:r>
    </w:p>
    <w:p>
      <w:pPr>
        <w:keepNext w:val="0"/>
        <w:keepLines w:val="0"/>
        <w:pageBreakBefore w:val="0"/>
        <w:widowControl w:val="0"/>
        <w:numPr>
          <w:ilvl w:val="0"/>
          <w:numId w:val="4"/>
        </w:numPr>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根据阳江市生态环境技术中心出具的</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eastAsia="zh-CN"/>
        </w:rPr>
        <w:t>关于阳春市中医院迁建项目（二期）生态环境影响报告表</w:t>
      </w:r>
      <w:r>
        <w:rPr>
          <w:rFonts w:hint="eastAsia" w:ascii="仿宋_GB2312" w:hAnsi="仿宋_GB2312" w:eastAsia="仿宋_GB2312" w:cs="仿宋_GB2312"/>
          <w:color w:val="auto"/>
          <w:sz w:val="32"/>
          <w:szCs w:val="32"/>
        </w:rPr>
        <w:t>评估意见的函》（阳环技〔202</w:t>
      </w:r>
      <w:r>
        <w:rPr>
          <w:rFonts w:hint="eastAsia" w:ascii="仿宋_GB2312" w:hAnsi="仿宋_GB2312" w:eastAsia="仿宋_GB2312" w:cs="仿宋_GB2312"/>
          <w:color w:val="auto"/>
          <w:sz w:val="32"/>
          <w:szCs w:val="32"/>
          <w:lang w:val="en-US" w:eastAsia="zh-CN"/>
        </w:rPr>
        <w:t>6</w:t>
      </w:r>
      <w:r>
        <w:rPr>
          <w:rFonts w:hint="eastAsia" w:ascii="仿宋_GB2312" w:hAnsi="仿宋_GB2312" w:eastAsia="仿宋_GB2312" w:cs="仿宋_GB2312"/>
          <w:color w:val="auto"/>
          <w:sz w:val="32"/>
          <w:szCs w:val="32"/>
        </w:rPr>
        <w:t>〕</w:t>
      </w:r>
      <w:r>
        <w:rPr>
          <w:rFonts w:hint="eastAsia" w:ascii="仿宋_GB2312" w:hAnsi="仿宋_GB2312" w:eastAsia="仿宋_GB2312" w:cs="仿宋_GB2312"/>
          <w:color w:val="auto"/>
          <w:sz w:val="32"/>
          <w:szCs w:val="32"/>
          <w:lang w:val="en-US" w:eastAsia="zh-CN"/>
        </w:rPr>
        <w:t>37</w:t>
      </w:r>
      <w:r>
        <w:rPr>
          <w:rFonts w:hint="eastAsia" w:ascii="仿宋_GB2312" w:hAnsi="仿宋_GB2312" w:eastAsia="仿宋_GB2312" w:cs="仿宋_GB2312"/>
          <w:color w:val="auto"/>
          <w:sz w:val="32"/>
          <w:szCs w:val="32"/>
        </w:rPr>
        <w:t>号）认为，</w:t>
      </w:r>
      <w:r>
        <w:rPr>
          <w:rFonts w:hint="eastAsia" w:ascii="仿宋_GB2312" w:hAnsi="仿宋_GB2312" w:eastAsia="仿宋_GB2312" w:cs="仿宋_GB2312"/>
          <w:color w:val="auto"/>
          <w:sz w:val="32"/>
          <w:szCs w:val="32"/>
          <w:lang w:val="en-US" w:eastAsia="zh-CN"/>
        </w:rPr>
        <w:t>项目符合阳江市生态环境分区管控要求，</w:t>
      </w:r>
      <w:r>
        <w:rPr>
          <w:rFonts w:hint="eastAsia" w:ascii="仿宋_GB2312" w:hAnsi="仿宋_GB2312" w:eastAsia="仿宋_GB2312" w:cs="仿宋_GB2312"/>
          <w:color w:val="auto"/>
          <w:sz w:val="32"/>
          <w:szCs w:val="32"/>
          <w:lang w:val="zh-CN" w:eastAsia="zh-CN"/>
        </w:rPr>
        <w:t>项目拟采取相应的治理措施，对废水、废气、噪声进行治理，做到废水、废气、噪声达标排放，并对固体废物进行妥善处理。只要建设单位严格遵守并认真执行各项环境保护法律法规，加强环境管理，落实《报告表》提出的各项环境保护措施后，项目建设对环境的影响可以控制在允许范围内，从环境影响的角度看，项目建设可行。</w:t>
      </w:r>
      <w:r>
        <w:rPr>
          <w:rFonts w:hint="eastAsia" w:ascii="仿宋_GB2312" w:hAnsi="仿宋_GB2312" w:eastAsia="仿宋_GB2312" w:cs="仿宋_GB2312"/>
          <w:sz w:val="32"/>
          <w:szCs w:val="32"/>
        </w:rPr>
        <w:t>经阳江市生态环境局阳春分局局务会集体研究决定，原则</w:t>
      </w:r>
      <w:r>
        <w:rPr>
          <w:rFonts w:hint="eastAsia" w:ascii="仿宋_GB2312" w:hAnsi="仿宋_GB2312" w:eastAsia="仿宋_GB2312" w:cs="仿宋_GB2312"/>
          <w:sz w:val="32"/>
          <w:szCs w:val="32"/>
          <w:lang w:eastAsia="zh-CN"/>
        </w:rPr>
        <w:t>上</w:t>
      </w:r>
      <w:r>
        <w:rPr>
          <w:rFonts w:hint="eastAsia" w:ascii="仿宋_GB2312" w:hAnsi="仿宋_GB2312" w:eastAsia="仿宋_GB2312" w:cs="仿宋_GB2312"/>
          <w:sz w:val="32"/>
          <w:szCs w:val="32"/>
        </w:rPr>
        <w:t xml:space="preserve">通过对《报告表》的审查。你单位应按照《报告表》内容组织实施。项目建设和运营中还应重点做好以下工作: </w:t>
      </w:r>
    </w:p>
    <w:p>
      <w:pPr>
        <w:pStyle w:val="2"/>
        <w:ind w:firstLine="640" w:firstLineChars="200"/>
        <w:jc w:val="both"/>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（一）</w:t>
      </w:r>
      <w:r>
        <w:rPr>
          <w:rFonts w:hint="eastAsia" w:ascii="仿宋_GB2312" w:hAnsi="仿宋_GB2312" w:eastAsia="仿宋_GB2312" w:cs="仿宋_GB2312"/>
          <w:sz w:val="32"/>
          <w:szCs w:val="32"/>
          <w:lang w:val="en-US" w:eastAsia="zh-CN"/>
        </w:rPr>
        <w:t>施工期应采取道路硬化与持续洒水，在施工边界设置连续、密闭的围挡，对裸露地（含土方）、易扬尘物料等进行覆盖，采用密闭车辆运输物料，并设置运输车辆冲洗装置，使用低污染排放设备，使用合格装修材料等措施，排放标准执行广东省地方标准《大气污染物排放限值》（DB44/27-2001）中的第二时段无组织排放监测浓度限值。</w:t>
      </w:r>
    </w:p>
    <w:p>
      <w:pPr>
        <w:ind w:firstLine="640" w:firstLineChars="200"/>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（二）</w:t>
      </w:r>
      <w:r>
        <w:rPr>
          <w:rFonts w:hint="eastAsia" w:ascii="仿宋_GB2312" w:hAnsi="仿宋_GB2312" w:eastAsia="仿宋_GB2312" w:cs="仿宋_GB2312"/>
          <w:sz w:val="32"/>
          <w:szCs w:val="32"/>
          <w:lang w:val="en-US" w:eastAsia="zh-CN"/>
        </w:rPr>
        <w:t>施工期施工废水经隔油沉淀后回用于场地洒水抑尘，不外排；施工人员生活污水依托周边城市设施处理后通过市政污水管网排入阳春市城区污水处理厂进一步处理，执行广东省地方标准《水污染物排放限值》（DB44/26-2001）第二时段三级标准。</w:t>
      </w:r>
    </w:p>
    <w:p>
      <w:pPr>
        <w:pStyle w:val="2"/>
        <w:ind w:firstLine="640" w:firstLineChars="200"/>
        <w:jc w:val="both"/>
        <w:rPr>
          <w:rFonts w:hint="eastAsia"/>
          <w:lang w:eastAsia="zh-CN"/>
        </w:rPr>
      </w:pPr>
      <w:r>
        <w:rPr>
          <w:rFonts w:hint="eastAsia" w:ascii="仿宋_GB2312" w:hAnsi="仿宋_GB2312" w:eastAsia="仿宋_GB2312" w:cs="仿宋_GB2312"/>
          <w:sz w:val="32"/>
          <w:szCs w:val="32"/>
          <w:lang w:eastAsia="zh-CN"/>
        </w:rPr>
        <w:t>（三）</w:t>
      </w:r>
      <w:r>
        <w:rPr>
          <w:rFonts w:hint="eastAsia" w:ascii="仿宋_GB2312" w:hAnsi="仿宋_GB2312" w:eastAsia="仿宋_GB2312" w:cs="仿宋_GB2312"/>
          <w:color w:val="auto"/>
          <w:kern w:val="2"/>
          <w:sz w:val="32"/>
          <w:szCs w:val="32"/>
          <w:lang w:val="en-US" w:eastAsia="zh-CN" w:bidi="ar-SA"/>
        </w:rPr>
        <w:t>施工期项目通过采用低噪设备、控制作业时间、加强对施工单位的管理和监督等措施，减轻对周围环境的影响，施工期场界噪声执行《建筑施工噪声排放标准》（GB12523-2025）相关标准。</w:t>
      </w:r>
    </w:p>
    <w:p>
      <w:pPr>
        <w:ind w:firstLine="640" w:firstLineChars="200"/>
        <w:rPr>
          <w:rFonts w:hint="eastAsia"/>
          <w:lang w:val="en-US" w:eastAsia="zh-CN"/>
        </w:rPr>
      </w:pPr>
      <w:r>
        <w:rPr>
          <w:rFonts w:hint="eastAsia" w:ascii="仿宋_GB2312" w:hAnsi="仿宋_GB2312" w:eastAsia="仿宋_GB2312" w:cs="仿宋_GB2312"/>
          <w:sz w:val="32"/>
          <w:szCs w:val="32"/>
          <w:highlight w:val="none"/>
        </w:rPr>
        <w:t>（四）</w:t>
      </w:r>
      <w:r>
        <w:rPr>
          <w:rFonts w:hint="eastAsia" w:ascii="仿宋_GB2312" w:hAnsi="仿宋_GB2312" w:eastAsia="仿宋_GB2312" w:cs="仿宋_GB2312"/>
          <w:sz w:val="32"/>
          <w:szCs w:val="32"/>
          <w:highlight w:val="none"/>
          <w:lang w:val="en-US" w:eastAsia="zh-CN"/>
        </w:rPr>
        <w:t>施工期的建筑废物运送至规定收纳场地进行处置，废油漆桶和废油漆收集后暂存于临时危废暂存间（地面硬化、防渗漏处理），委托有危废处理资质的单位处置，生活垃圾统一收集后委托环卫部门定期清理。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（五）严格落实大气污染防治措施。</w:t>
      </w:r>
      <w:r>
        <w:rPr>
          <w:rFonts w:hint="eastAsia" w:ascii="仿宋_GB2312" w:hAnsi="仿宋_GB2312" w:eastAsia="仿宋_GB2312" w:cs="仿宋_GB2312"/>
          <w:sz w:val="32"/>
          <w:szCs w:val="32"/>
          <w:lang w:val="en-US" w:eastAsia="zh-CN"/>
        </w:rPr>
        <w:t>项目含病菌气溶胶废气经高效过滤器+紫外消毒净化处理后在各楼层排气口排放；消毒废气经室内通排风系统收集并排至室外，以无组织形式排放；地下车库设置机械通风系统，机动车废气经排风竖井引至地面排放；医疗垃圾用房和生活垃圾用房通过垃圾房密闭、垃圾定期清运以及喷洒除臭液，减少异味；污水处理站采用全封闭的埋地式，配套收集设施，污水处理站废气通过“负压密闭池体+集气管道”收集进入1套活性炭吸附装置处理达标后通过1根30m高DA001排气筒高空排放；食堂油烟经静电油烟净化器处理后通过1根30m高DA002排气筒高空排放。污水处理站废气的DA001排气筒有组织排放的氨、硫化氢和臭气浓度执行《恶臭污染物排放标准》（GB14554-93）表2恶臭污染物排放标准，食堂油烟的DA002排气筒有组织排放的油烟执行《饮食业油烟排放标准（试行）》（GB18483-2001）表2最高允许排放浓度和最低去除效率限值，厂界无组织排放的非甲烷总烃、NOX、CO执行广东省地方标准《大气污染物排放限值》（DB44/27-2001）第二时段无组织排放监控浓度限值，厂界无组织排放的氨、硫化氢、臭气浓度执行《恶臭污染物排放标准》（GB14554-93）表1恶臭污染物厂界二级新扩改建项目标准值，污水处理站周边无组织排放的氨、硫化氢、臭气浓度、氯气和甲烷执行《医疗机构水污染物排放标准》（GB18466-2005）及其2026年修改单表3污水处理站周边大气污染物最高允许浓度，院区内无组织排放的非甲烷总烃执行《挥发性有机物无组织排放控制标准》（GB37822-2019）表A.1厂区内VOCs无组织排放限值中非甲烷总烃的特别排放限值要求。</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eastAsia="zh-CN"/>
        </w:rPr>
        <w:t>（六）严格落实水污染防治措施。</w:t>
      </w:r>
      <w:r>
        <w:rPr>
          <w:rFonts w:hint="eastAsia" w:ascii="仿宋_GB2312" w:hAnsi="仿宋_GB2312" w:eastAsia="仿宋_GB2312" w:cs="仿宋_GB2312"/>
          <w:sz w:val="32"/>
          <w:szCs w:val="32"/>
        </w:rPr>
        <w:t>项目须按照“雨污分流、循环用水”的原则设置给排水系统。</w:t>
      </w:r>
      <w:r>
        <w:rPr>
          <w:rFonts w:hint="eastAsia" w:ascii="仿宋_GB2312" w:hAnsi="仿宋_GB2312" w:eastAsia="仿宋_GB2312" w:cs="仿宋_GB2312"/>
          <w:sz w:val="32"/>
          <w:szCs w:val="32"/>
          <w:lang w:eastAsia="zh-CN"/>
        </w:rPr>
        <w:t>营运期</w:t>
      </w:r>
      <w:r>
        <w:rPr>
          <w:rFonts w:hint="eastAsia" w:ascii="仿宋_GB2312" w:hAnsi="仿宋_GB2312" w:eastAsia="仿宋_GB2312" w:cs="仿宋_GB2312"/>
          <w:sz w:val="32"/>
          <w:szCs w:val="32"/>
          <w:lang w:val="en-US" w:eastAsia="zh-CN"/>
        </w:rPr>
        <w:t>项目产生的生活污水经化粪池预处理，食堂废水经隔油池预处理，车库冲洗废水经沉砂池处理，发热门诊的医疗废水经消毒池预处理，预处理后的生活污水、食堂废水、车库冲洗废水、发热门诊医疗废水与其他区域医疗废水和低浓度污水（纯水制备浓水和反冲洗废水）一并汇入项目一期的污水处理站处理（处理工艺：格栅+调节池+酸化池+接触氧化池+沉淀池+消毒池）达到《医疗机构水污染物排放标准》（GB18466-2005）及其2026年修改单中表2预处理标准后通过市政污水管网进入阳春市城区污水处理厂进一步处理。</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七</w:t>
      </w:r>
      <w:r>
        <w:rPr>
          <w:rFonts w:hint="eastAsia" w:ascii="仿宋_GB2312" w:hAnsi="仿宋_GB2312" w:eastAsia="仿宋_GB2312" w:cs="仿宋_GB2312"/>
          <w:sz w:val="32"/>
          <w:szCs w:val="32"/>
          <w:lang w:eastAsia="zh-CN"/>
        </w:rPr>
        <w:t>）严格落实噪声污染防治措施。</w:t>
      </w:r>
      <w:r>
        <w:rPr>
          <w:rFonts w:hint="eastAsia" w:ascii="仿宋_GB2312" w:hAnsi="仿宋_GB2312" w:eastAsia="仿宋_GB2312" w:cs="仿宋_GB2312"/>
          <w:sz w:val="32"/>
          <w:szCs w:val="32"/>
        </w:rPr>
        <w:t>项目应对</w:t>
      </w:r>
      <w:r>
        <w:rPr>
          <w:rFonts w:hint="eastAsia" w:ascii="仿宋_GB2312" w:hAnsi="仿宋_GB2312" w:eastAsia="仿宋_GB2312" w:cs="仿宋_GB2312"/>
          <w:sz w:val="32"/>
          <w:szCs w:val="32"/>
          <w:lang w:val="en-US" w:eastAsia="zh-CN"/>
        </w:rPr>
        <w:t>噪声源采取适</w:t>
      </w:r>
      <w:permStart w:id="1" w:edGrp="everyone"/>
      <w:permEnd w:id="1"/>
      <w:r>
        <w:rPr>
          <w:rFonts w:hint="eastAsia" w:ascii="仿宋_GB2312" w:hAnsi="仿宋_GB2312" w:eastAsia="仿宋_GB2312" w:cs="仿宋_GB2312"/>
          <w:sz w:val="32"/>
          <w:szCs w:val="32"/>
          <w:lang w:val="en-US" w:eastAsia="zh-CN"/>
        </w:rPr>
        <w:t>当降噪、墙体隔音、减振、吸声、消音等治理措施，降低对周边环境的影响，场界东、南、北侧噪声执行《工业企业厂界环境噪声排放标准》（GB12348-2008）中4类标准，</w:t>
      </w:r>
      <w:r>
        <w:rPr>
          <w:rFonts w:hint="eastAsia" w:ascii="仿宋_GB2312" w:hAnsi="仿宋_GB2312" w:eastAsia="仿宋_GB2312" w:cs="仿宋_GB2312"/>
          <w:sz w:val="32"/>
          <w:szCs w:val="32"/>
          <w:lang w:eastAsia="zh-CN"/>
        </w:rPr>
        <w:t>即昼间≤</w:t>
      </w:r>
      <w:r>
        <w:rPr>
          <w:rFonts w:hint="eastAsia" w:ascii="仿宋_GB2312" w:hAnsi="仿宋_GB2312" w:eastAsia="仿宋_GB2312" w:cs="仿宋_GB2312"/>
          <w:sz w:val="32"/>
          <w:szCs w:val="32"/>
          <w:lang w:val="en-US" w:eastAsia="zh-CN"/>
        </w:rPr>
        <w:t>70</w:t>
      </w:r>
      <w:r>
        <w:rPr>
          <w:rFonts w:hint="eastAsia" w:ascii="仿宋_GB2312" w:hAnsi="仿宋_GB2312" w:eastAsia="仿宋_GB2312" w:cs="仿宋_GB2312"/>
          <w:sz w:val="32"/>
          <w:szCs w:val="32"/>
          <w:lang w:eastAsia="zh-CN"/>
        </w:rPr>
        <w:t>dB(A)，夜间≤55dB(A)；</w:t>
      </w:r>
      <w:r>
        <w:rPr>
          <w:rFonts w:hint="eastAsia" w:ascii="仿宋_GB2312" w:hAnsi="仿宋_GB2312" w:eastAsia="仿宋_GB2312" w:cs="仿宋_GB2312"/>
          <w:sz w:val="32"/>
          <w:szCs w:val="32"/>
          <w:lang w:val="en-US" w:eastAsia="zh-CN"/>
        </w:rPr>
        <w:t>场界西侧噪声执行《工业企业厂界环境噪声排放标准》（GB12348-2008）中2类标准，</w:t>
      </w:r>
      <w:r>
        <w:rPr>
          <w:rFonts w:hint="eastAsia" w:ascii="仿宋_GB2312" w:hAnsi="仿宋_GB2312" w:eastAsia="仿宋_GB2312" w:cs="仿宋_GB2312"/>
          <w:sz w:val="32"/>
          <w:szCs w:val="32"/>
          <w:lang w:eastAsia="zh-CN"/>
        </w:rPr>
        <w:t>即昼间≤6</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dB(A)，夜间≤5</w:t>
      </w:r>
      <w:r>
        <w:rPr>
          <w:rFonts w:hint="eastAsia" w:ascii="仿宋_GB2312" w:hAnsi="仿宋_GB2312" w:eastAsia="仿宋_GB2312" w:cs="仿宋_GB2312"/>
          <w:sz w:val="32"/>
          <w:szCs w:val="32"/>
          <w:lang w:val="en-US" w:eastAsia="zh-CN"/>
        </w:rPr>
        <w:t>0</w:t>
      </w:r>
      <w:r>
        <w:rPr>
          <w:rFonts w:hint="eastAsia" w:ascii="仿宋_GB2312" w:hAnsi="仿宋_GB2312" w:eastAsia="仿宋_GB2312" w:cs="仿宋_GB2312"/>
          <w:sz w:val="32"/>
          <w:szCs w:val="32"/>
          <w:lang w:eastAsia="zh-CN"/>
        </w:rPr>
        <w:t>dB(A)。</w:t>
      </w:r>
    </w:p>
    <w:p>
      <w:pPr>
        <w:keepNext w:val="0"/>
        <w:keepLines w:val="0"/>
        <w:pageBreakBefore w:val="0"/>
        <w:widowControl w:val="0"/>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八</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highlight w:val="none"/>
        </w:rPr>
        <w:t>严格落实固体废物分类处置和综合利用措施。</w:t>
      </w:r>
      <w:r>
        <w:rPr>
          <w:rFonts w:hint="eastAsia" w:ascii="仿宋_GB2312" w:hAnsi="仿宋_GB2312" w:eastAsia="仿宋_GB2312" w:cs="仿宋_GB2312"/>
          <w:sz w:val="32"/>
          <w:szCs w:val="32"/>
          <w:highlight w:val="none"/>
          <w:lang w:val="en-US" w:eastAsia="zh-CN"/>
        </w:rPr>
        <w:t>项目生产过程中产生的固废主要是一般工业固废（废纯水系统耗材（废砂、废活性炭、废滤芯和废RO膜）、废包装材料、废输液瓶（袋））、医疗类废物（医疗废物、废药品、检验废液、废高效过滤器、污水处理污泥和化粪池污泥）、危险废物（废紫外线灯管）、餐厨垃圾、生活垃圾。其中一般工业固废（废纯水系统耗材（废砂、废活性炭、废滤芯和废RO膜）、废包装材料、废输液瓶（袋））分类收集后交由专业回收公司处理；餐厨垃圾收集后交由专门餐厨垃圾处理公司处理；生活垃圾统一收集后委托环卫部门定期清理；医疗类废物（医疗废物、废药品、检验废液、废高效过滤器、污水处理污泥和化粪池污泥）、危险废物（废紫外线灯管）交由有相应危废处理资质单位处置。</w:t>
      </w:r>
    </w:p>
    <w:p>
      <w:pPr>
        <w:keepNext w:val="0"/>
        <w:keepLines w:val="0"/>
        <w:pageBreakBefore w:val="0"/>
        <w:widowControl w:val="0"/>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三、项目环保投资应纳入工程投资概算并予以落实。</w:t>
      </w:r>
    </w:p>
    <w:p>
      <w:pPr>
        <w:keepNext w:val="0"/>
        <w:keepLines w:val="0"/>
        <w:pageBreakBefore w:val="0"/>
        <w:widowControl w:val="0"/>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四、《报告表》经批准后，建设项目的性质、规模、地点、采用的生产工艺或者防治污染、防止生态破坏的措施发生重大变动的，建设单位应当重新报批建设项目的环境影响评价文件。</w:t>
      </w:r>
    </w:p>
    <w:p>
      <w:pPr>
        <w:keepNext w:val="0"/>
        <w:keepLines w:val="0"/>
        <w:pageBreakBefore w:val="0"/>
        <w:widowControl w:val="0"/>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五、项目建设应严格执行配套建设的环境保护设施与主体工程同时设计、同时施工、同时投产使用的环境保护“三同时”制度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并按规定接受生态环境部门日常监督检查。</w:t>
      </w:r>
    </w:p>
    <w:p>
      <w:pPr>
        <w:keepNext w:val="0"/>
        <w:keepLines w:val="0"/>
        <w:pageBreakBefore w:val="0"/>
        <w:widowControl w:val="0"/>
        <w:kinsoku/>
        <w:wordWrap/>
        <w:overflowPunct/>
        <w:topLinePunct w:val="0"/>
        <w:bidi w:val="0"/>
        <w:snapToGrid/>
        <w:spacing w:line="600" w:lineRule="exact"/>
        <w:ind w:firstLine="640" w:firstLineChars="200"/>
        <w:jc w:val="both"/>
        <w:rPr>
          <w:rFonts w:hint="eastAsia" w:ascii="仿宋_GB2312" w:hAnsi="仿宋_GB2312" w:eastAsia="仿宋_GB2312" w:cs="仿宋_GB2312"/>
          <w:sz w:val="32"/>
          <w:szCs w:val="32"/>
        </w:rPr>
      </w:pPr>
      <w:r>
        <w:rPr>
          <w:rFonts w:hint="eastAsia" w:ascii="仿宋_GB2312" w:hAnsi="仿宋_GB2312" w:eastAsia="仿宋_GB2312" w:cs="仿宋_GB2312"/>
          <w:kern w:val="0"/>
          <w:sz w:val="32"/>
          <w:szCs w:val="32"/>
        </w:rPr>
        <w:t>六、建设单位应根据《建设项目竣工环境保护验收暂行办法》，自行开展环境保护验收工作。验收报告公示期满后5个工作日内，登录全国建设项目竣工环境保护验收信息平台，填报建设项目基本信息、环境保护设施验收情况等相关信息。</w:t>
      </w:r>
    </w:p>
    <w:p>
      <w:pPr>
        <w:pStyle w:val="2"/>
        <w:keepNext w:val="0"/>
        <w:keepLines w:val="0"/>
        <w:pageBreakBefore w:val="0"/>
        <w:widowControl w:val="0"/>
        <w:kinsoku/>
        <w:wordWrap/>
        <w:overflowPunct/>
        <w:topLinePunct w:val="0"/>
        <w:autoSpaceDE w:val="0"/>
        <w:autoSpaceDN w:val="0"/>
        <w:bidi w:val="0"/>
        <w:adjustRightInd w:val="0"/>
        <w:snapToGrid/>
        <w:spacing w:line="600" w:lineRule="exact"/>
        <w:ind w:firstLine="640" w:firstLineChars="200"/>
        <w:jc w:val="both"/>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七、建设单位应根据《排污许可管理条例》、《固定污染源排污许可分类管理名录》（2019年版）等相关法律法规要求，完成排污许可相关手续。</w:t>
      </w:r>
    </w:p>
    <w:p>
      <w:pPr>
        <w:pStyle w:val="2"/>
        <w:keepNext w:val="0"/>
        <w:keepLines w:val="0"/>
        <w:pageBreakBefore w:val="0"/>
        <w:widowControl w:val="0"/>
        <w:kinsoku/>
        <w:wordWrap/>
        <w:overflowPunct/>
        <w:topLinePunct w:val="0"/>
        <w:bidi w:val="0"/>
        <w:snapToGrid/>
        <w:spacing w:line="600" w:lineRule="exact"/>
        <w:rPr>
          <w:rFonts w:hint="eastAsia"/>
        </w:rPr>
      </w:pPr>
    </w:p>
    <w:p>
      <w:pPr>
        <w:pStyle w:val="2"/>
        <w:keepNext w:val="0"/>
        <w:keepLines w:val="0"/>
        <w:pageBreakBefore w:val="0"/>
        <w:widowControl w:val="0"/>
        <w:kinsoku/>
        <w:wordWrap/>
        <w:overflowPunct/>
        <w:topLinePunct w:val="0"/>
        <w:bidi w:val="0"/>
        <w:snapToGrid/>
        <w:spacing w:line="600" w:lineRule="exact"/>
        <w:rPr>
          <w:rFonts w:hint="eastAsia"/>
        </w:rPr>
      </w:pPr>
      <w:permStart w:id="2" w:edGrp="everyone"/>
      <w:permEnd w:id="2"/>
    </w:p>
    <w:p>
      <w:pPr>
        <w:keepNext w:val="0"/>
        <w:keepLines w:val="0"/>
        <w:pageBreakBefore w:val="0"/>
        <w:widowControl w:val="0"/>
        <w:kinsoku/>
        <w:wordWrap/>
        <w:overflowPunct/>
        <w:topLinePunct w:val="0"/>
        <w:bidi w:val="0"/>
        <w:snapToGrid/>
        <w:spacing w:line="600" w:lineRule="exact"/>
        <w:ind w:firstLine="5440" w:firstLineChars="17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阳江市生态环境局</w:t>
      </w:r>
    </w:p>
    <w:p>
      <w:pPr>
        <w:keepNext w:val="0"/>
        <w:keepLines w:val="0"/>
        <w:pageBreakBefore w:val="0"/>
        <w:widowControl w:val="0"/>
        <w:kinsoku/>
        <w:wordWrap/>
        <w:overflowPunct/>
        <w:topLinePunct w:val="0"/>
        <w:bidi w:val="0"/>
        <w:snapToGrid/>
        <w:spacing w:line="600" w:lineRule="exact"/>
        <w:ind w:firstLine="5440" w:firstLineChars="1700"/>
        <w:jc w:val="left"/>
        <w:rPr>
          <w:rFonts w:eastAsia="方正仿宋简体"/>
          <w:color w:val="FF0000"/>
          <w:sz w:val="32"/>
          <w:szCs w:val="32"/>
        </w:rPr>
      </w:pPr>
      <w:r>
        <w:rPr>
          <w:rFonts w:hint="eastAsia" w:ascii="仿宋_GB2312" w:hAnsi="仿宋_GB2312" w:eastAsia="仿宋_GB2312" w:cs="仿宋_GB2312"/>
          <w:sz w:val="32"/>
          <w:szCs w:val="32"/>
        </w:rPr>
        <w:t>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9</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17</w:t>
      </w:r>
      <w:r>
        <w:rPr>
          <w:rFonts w:hint="eastAsia" w:ascii="仿宋_GB2312" w:hAnsi="仿宋_GB2312" w:eastAsia="仿宋_GB2312" w:cs="仿宋_GB2312"/>
          <w:sz w:val="32"/>
          <w:szCs w:val="32"/>
        </w:rPr>
        <w:t>日</w:t>
      </w:r>
    </w:p>
    <w:sectPr>
      <w:footerReference r:id="rId3" w:type="default"/>
      <w:pgSz w:w="11906" w:h="16838"/>
      <w:pgMar w:top="2098" w:right="1474" w:bottom="1020" w:left="1588" w:header="851" w:footer="992" w:gutter="0"/>
      <w:pgNumType w:fmt="numberInDash"/>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MS Mincho">
    <w:panose1 w:val="02020609040205080304"/>
    <w:charset w:val="80"/>
    <w:family w:val="roman"/>
    <w:pitch w:val="default"/>
    <w:sig w:usb0="E00002FF" w:usb1="6AC7FDFB" w:usb2="00000012" w:usb3="00000000" w:csb0="4002009F" w:csb1="DFD70000"/>
  </w:font>
  <w:font w:name="仿宋_GB2312">
    <w:panose1 w:val="02010609030101010101"/>
    <w:charset w:val="86"/>
    <w:family w:val="modern"/>
    <w:pitch w:val="default"/>
    <w:sig w:usb0="00000001" w:usb1="080E0000" w:usb2="00000000" w:usb3="00000000" w:csb0="00040000" w:csb1="00000000"/>
    <w:embedRegular r:id="rId1" w:fontKey="{86595F02-342F-4CE2-B415-3F52D2490FFD}"/>
  </w:font>
  <w:font w:name="寰蒋闆呴粦">
    <w:altName w:val="微软雅黑"/>
    <w:panose1 w:val="00000000000000000000"/>
    <w:charset w:val="00"/>
    <w:family w:val="auto"/>
    <w:pitch w:val="default"/>
    <w:sig w:usb0="00000000" w:usb1="00000000" w:usb2="00000000" w:usb3="00000000" w:csb0="00040001" w:csb1="00000000"/>
  </w:font>
  <w:font w:name="方正仿宋简体">
    <w:altName w:val="微软雅黑"/>
    <w:panose1 w:val="03000509000000000000"/>
    <w:charset w:val="86"/>
    <w:family w:val="script"/>
    <w:pitch w:val="default"/>
    <w:sig w:usb0="00000000" w:usb1="00000000" w:usb2="00000000" w:usb3="00000000" w:csb0="00040000" w:csb1="00000000"/>
    <w:embedRegular r:id="rId2" w:fontKey="{9558582A-6264-4A91-B381-3632DAEA95FA}"/>
  </w:font>
  <w:font w:name="方正小标宋简体">
    <w:panose1 w:val="02000000000000000000"/>
    <w:charset w:val="86"/>
    <w:family w:val="script"/>
    <w:pitch w:val="default"/>
    <w:sig w:usb0="00000001" w:usb1="08000000" w:usb2="00000000" w:usb3="00000000" w:csb0="00040000" w:csb1="00000000"/>
    <w:embedRegular r:id="rId3" w:fontKey="{39DB44F9-8F4D-45ED-BD15-183DADBD21B7}"/>
  </w:font>
  <w:font w:name="微软雅黑">
    <w:panose1 w:val="020B0503020204020204"/>
    <w:charset w:val="86"/>
    <w:family w:val="auto"/>
    <w:pitch w:val="default"/>
    <w:sig w:usb0="80000287" w:usb1="280F3C52" w:usb2="00000016" w:usb3="00000000" w:csb0="0004001F"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0"/>
      <w:framePr w:wrap="around" w:vAnchor="text" w:hAnchor="margin" w:xAlign="outside" w:yAlign="top"/>
      <w:pBdr>
        <w:between w:val="none" w:color="auto" w:sz="0" w:space="0"/>
      </w:pBdr>
    </w:pPr>
    <w:r>
      <w:rPr>
        <w:rFonts w:hint="eastAsia" w:ascii="仿宋_GB2312" w:hAnsi="仿宋_GB2312" w:eastAsia="仿宋_GB2312"/>
        <w:sz w:val="28"/>
      </w:rPr>
      <w:fldChar w:fldCharType="begin"/>
    </w:r>
    <w:r>
      <w:rPr>
        <w:rStyle w:val="27"/>
        <w:rFonts w:hint="eastAsia" w:ascii="仿宋_GB2312" w:hAnsi="仿宋_GB2312" w:eastAsia="仿宋_GB2312"/>
        <w:sz w:val="28"/>
      </w:rPr>
      <w:instrText xml:space="preserve"> PAGE  </w:instrText>
    </w:r>
    <w:r>
      <w:rPr>
        <w:rFonts w:hint="eastAsia" w:ascii="仿宋_GB2312" w:hAnsi="仿宋_GB2312" w:eastAsia="仿宋_GB2312"/>
        <w:sz w:val="28"/>
      </w:rPr>
      <w:fldChar w:fldCharType="separate"/>
    </w:r>
    <w:r>
      <w:rPr>
        <w:rStyle w:val="27"/>
        <w:rFonts w:ascii="仿宋_GB2312" w:hAnsi="仿宋_GB2312" w:eastAsia="仿宋_GB2312"/>
        <w:sz w:val="28"/>
      </w:rPr>
      <w:t>- 2 -</w:t>
    </w:r>
    <w:r>
      <w:rPr>
        <w:rFonts w:hint="eastAsia" w:ascii="仿宋_GB2312" w:hAnsi="仿宋_GB2312" w:eastAsia="仿宋_GB2312"/>
        <w:sz w:val="28"/>
      </w:rPr>
      <w:fldChar w:fldCharType="end"/>
    </w:r>
  </w:p>
  <w:p>
    <w:pPr>
      <w:pStyle w:val="20"/>
      <w:ind w:right="360"/>
      <w:rPr>
        <w:rFonts w:hint="eastAsia"/>
      </w:rPr>
    </w:pPr>
    <w:r>
      <w:rPr>
        <w:rFonts w:hint="eastAsia"/>
      </w:rPr>
      <w:t xml:space="preserve">     </w: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B446AAD"/>
    <w:multiLevelType w:val="multilevel"/>
    <w:tmpl w:val="DB446AAD"/>
    <w:lvl w:ilvl="0" w:tentative="0">
      <w:start w:val="1"/>
      <w:numFmt w:val="decimal"/>
      <w:suff w:val="nothing"/>
      <w:lvlText w:val="%1."/>
      <w:lvlJc w:val="left"/>
      <w:pPr>
        <w:ind w:left="432" w:hanging="432"/>
      </w:pPr>
      <w:rPr>
        <w:rFonts w:hint="default"/>
      </w:rPr>
    </w:lvl>
    <w:lvl w:ilvl="1" w:tentative="0">
      <w:start w:val="1"/>
      <w:numFmt w:val="decimal"/>
      <w:suff w:val="nothing"/>
      <w:lvlText w:val="%1.%2"/>
      <w:lvlJc w:val="left"/>
      <w:pPr>
        <w:ind w:left="575" w:hanging="575"/>
      </w:pPr>
    </w:lvl>
    <w:lvl w:ilvl="2" w:tentative="0">
      <w:start w:val="1"/>
      <w:numFmt w:val="decimal"/>
      <w:pStyle w:val="38"/>
      <w:suff w:val="nothing"/>
      <w:lvlText w:val="%1.%2.%3"/>
      <w:lvlJc w:val="left"/>
      <w:pPr>
        <w:ind w:left="720" w:hanging="720"/>
      </w:pPr>
    </w:lvl>
    <w:lvl w:ilvl="3" w:tentative="0">
      <w:start w:val="1"/>
      <w:numFmt w:val="decimal"/>
      <w:suff w:val="nothing"/>
      <w:lvlText w:val="%1.%2.%3.%4"/>
      <w:lvlJc w:val="left"/>
      <w:pPr>
        <w:ind w:left="864" w:hanging="864"/>
      </w:pPr>
      <w:rPr>
        <w:rFonts w:hint="default" w:ascii="Times New Roman" w:hAnsi="Times New Roman" w:eastAsia="宋体" w:cs="Times New Roman"/>
        <w:b/>
        <w:bCs w:val="0"/>
        <w:sz w:val="24"/>
        <w:szCs w:val="24"/>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1">
    <w:nsid w:val="075FFCA9"/>
    <w:multiLevelType w:val="singleLevel"/>
    <w:tmpl w:val="075FFCA9"/>
    <w:lvl w:ilvl="0" w:tentative="0">
      <w:start w:val="1"/>
      <w:numFmt w:val="chineseCounting"/>
      <w:suff w:val="nothing"/>
      <w:lvlText w:val="%1、"/>
      <w:lvlJc w:val="left"/>
      <w:rPr>
        <w:rFonts w:hint="eastAsia"/>
      </w:rPr>
    </w:lvl>
  </w:abstractNum>
  <w:abstractNum w:abstractNumId="2">
    <w:nsid w:val="10AAED43"/>
    <w:multiLevelType w:val="singleLevel"/>
    <w:tmpl w:val="10AAED43"/>
    <w:lvl w:ilvl="0" w:tentative="0">
      <w:start w:val="2"/>
      <w:numFmt w:val="chineseCounting"/>
      <w:suff w:val="nothing"/>
      <w:lvlText w:val="%1、"/>
      <w:lvlJc w:val="left"/>
      <w:rPr>
        <w:rFonts w:hint="eastAsia"/>
      </w:rPr>
    </w:lvl>
  </w:abstractNum>
  <w:abstractNum w:abstractNumId="3">
    <w:nsid w:val="724C3539"/>
    <w:multiLevelType w:val="singleLevel"/>
    <w:tmpl w:val="724C3539"/>
    <w:lvl w:ilvl="0" w:tentative="0">
      <w:start w:val="1"/>
      <w:numFmt w:val="bullet"/>
      <w:pStyle w:val="16"/>
      <w:lvlText w:val=""/>
      <w:lvlJc w:val="left"/>
      <w:pPr>
        <w:tabs>
          <w:tab w:val="left" w:pos="780"/>
        </w:tabs>
        <w:ind w:left="780" w:hanging="360"/>
      </w:pPr>
      <w:rPr>
        <w:rFonts w:hint="default" w:ascii="Wingdings" w:hAnsi="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attachedTemplate r:id="rId1"/>
  <w:documentProtection w:edit="readOnly" w:enforcement="1" w:cryptProviderType="rsaFull" w:cryptAlgorithmClass="hash" w:cryptAlgorithmType="typeAny" w:cryptAlgorithmSid="4" w:cryptSpinCount="0" w:hash="8QoM5JqIdWiFgXGrOh/3diu3w0M=" w:salt="171Rqxnz0wNznWAgCp42Lg=="/>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TlmZGVlMjEyYjgyYWY0MzhhMGI3YWQwNmE1NDc4YWIifQ=="/>
  </w:docVars>
  <w:rsids>
    <w:rsidRoot w:val="00172A27"/>
    <w:rsid w:val="00087A9F"/>
    <w:rsid w:val="000C6ED3"/>
    <w:rsid w:val="002E336F"/>
    <w:rsid w:val="00376DB1"/>
    <w:rsid w:val="003E7F38"/>
    <w:rsid w:val="004457C8"/>
    <w:rsid w:val="00494FFB"/>
    <w:rsid w:val="004F7D4B"/>
    <w:rsid w:val="0056199B"/>
    <w:rsid w:val="007B37AF"/>
    <w:rsid w:val="00842882"/>
    <w:rsid w:val="00A62F7C"/>
    <w:rsid w:val="00AB2587"/>
    <w:rsid w:val="00B91268"/>
    <w:rsid w:val="00D91300"/>
    <w:rsid w:val="00E57775"/>
    <w:rsid w:val="011A328F"/>
    <w:rsid w:val="013B4EB6"/>
    <w:rsid w:val="017442FA"/>
    <w:rsid w:val="018C249A"/>
    <w:rsid w:val="01EF0F49"/>
    <w:rsid w:val="024A1BEE"/>
    <w:rsid w:val="03262AD0"/>
    <w:rsid w:val="03701E50"/>
    <w:rsid w:val="04836133"/>
    <w:rsid w:val="05047743"/>
    <w:rsid w:val="05094D59"/>
    <w:rsid w:val="055E224C"/>
    <w:rsid w:val="062F1292"/>
    <w:rsid w:val="06711DC5"/>
    <w:rsid w:val="075F6EB2"/>
    <w:rsid w:val="07C30D40"/>
    <w:rsid w:val="08930B50"/>
    <w:rsid w:val="08BF22FE"/>
    <w:rsid w:val="098E4FA0"/>
    <w:rsid w:val="09C70560"/>
    <w:rsid w:val="09F9546D"/>
    <w:rsid w:val="0A440FE4"/>
    <w:rsid w:val="0A60541B"/>
    <w:rsid w:val="0B2B4716"/>
    <w:rsid w:val="0BCD0230"/>
    <w:rsid w:val="0BDA284A"/>
    <w:rsid w:val="0C1A0CCB"/>
    <w:rsid w:val="0C5C7E64"/>
    <w:rsid w:val="0C6C3B47"/>
    <w:rsid w:val="0C6F0B41"/>
    <w:rsid w:val="0CDB5B80"/>
    <w:rsid w:val="0DA62A21"/>
    <w:rsid w:val="0DCB3E19"/>
    <w:rsid w:val="0E835B7C"/>
    <w:rsid w:val="0EBD5122"/>
    <w:rsid w:val="0EEB483E"/>
    <w:rsid w:val="0F136F00"/>
    <w:rsid w:val="0F5F2F14"/>
    <w:rsid w:val="0FAC2EB1"/>
    <w:rsid w:val="10563548"/>
    <w:rsid w:val="106908E7"/>
    <w:rsid w:val="10D73F5D"/>
    <w:rsid w:val="11624E28"/>
    <w:rsid w:val="116C60EB"/>
    <w:rsid w:val="11A02C31"/>
    <w:rsid w:val="11EF1C1E"/>
    <w:rsid w:val="11F21F51"/>
    <w:rsid w:val="124B4A8F"/>
    <w:rsid w:val="126B6C32"/>
    <w:rsid w:val="12B207DE"/>
    <w:rsid w:val="13BB1064"/>
    <w:rsid w:val="13F84313"/>
    <w:rsid w:val="144D6A10"/>
    <w:rsid w:val="1463461F"/>
    <w:rsid w:val="151B4EE0"/>
    <w:rsid w:val="15313219"/>
    <w:rsid w:val="15AC1DE4"/>
    <w:rsid w:val="15FA6724"/>
    <w:rsid w:val="161222F2"/>
    <w:rsid w:val="168D3A3C"/>
    <w:rsid w:val="16AE1F94"/>
    <w:rsid w:val="16E10469"/>
    <w:rsid w:val="16E15727"/>
    <w:rsid w:val="18A21398"/>
    <w:rsid w:val="19277BC7"/>
    <w:rsid w:val="19691309"/>
    <w:rsid w:val="199C5D44"/>
    <w:rsid w:val="19CA10C7"/>
    <w:rsid w:val="1A1C3315"/>
    <w:rsid w:val="1A8F1A17"/>
    <w:rsid w:val="1AA17168"/>
    <w:rsid w:val="1ABC3B86"/>
    <w:rsid w:val="1B4C7506"/>
    <w:rsid w:val="1C4A5F2B"/>
    <w:rsid w:val="1C656C23"/>
    <w:rsid w:val="1D434921"/>
    <w:rsid w:val="1D645EA9"/>
    <w:rsid w:val="1DD141DB"/>
    <w:rsid w:val="1DEE6115"/>
    <w:rsid w:val="1E322872"/>
    <w:rsid w:val="1E4470D6"/>
    <w:rsid w:val="1E59638F"/>
    <w:rsid w:val="1ECA499A"/>
    <w:rsid w:val="1EFD2042"/>
    <w:rsid w:val="1FB3345F"/>
    <w:rsid w:val="1FEE20AC"/>
    <w:rsid w:val="20E80A81"/>
    <w:rsid w:val="21112292"/>
    <w:rsid w:val="2177331E"/>
    <w:rsid w:val="224663FF"/>
    <w:rsid w:val="23047487"/>
    <w:rsid w:val="231B23CF"/>
    <w:rsid w:val="24771887"/>
    <w:rsid w:val="24F26158"/>
    <w:rsid w:val="250F386E"/>
    <w:rsid w:val="257C3E00"/>
    <w:rsid w:val="25EE3094"/>
    <w:rsid w:val="26017076"/>
    <w:rsid w:val="263973EF"/>
    <w:rsid w:val="268A58A2"/>
    <w:rsid w:val="27046688"/>
    <w:rsid w:val="27181100"/>
    <w:rsid w:val="271C38B7"/>
    <w:rsid w:val="273E668C"/>
    <w:rsid w:val="2769195B"/>
    <w:rsid w:val="283F090E"/>
    <w:rsid w:val="286E00DC"/>
    <w:rsid w:val="29FD6F9B"/>
    <w:rsid w:val="2A043BBD"/>
    <w:rsid w:val="2A427CB6"/>
    <w:rsid w:val="2BB039F3"/>
    <w:rsid w:val="2BC37160"/>
    <w:rsid w:val="2C4D3B33"/>
    <w:rsid w:val="2C5F0FDF"/>
    <w:rsid w:val="2C743DDE"/>
    <w:rsid w:val="2C9D3A89"/>
    <w:rsid w:val="2D594220"/>
    <w:rsid w:val="2D922956"/>
    <w:rsid w:val="2D961A00"/>
    <w:rsid w:val="2E4722CA"/>
    <w:rsid w:val="2E7555D3"/>
    <w:rsid w:val="2E99606A"/>
    <w:rsid w:val="2F204FF5"/>
    <w:rsid w:val="2F3A3BDD"/>
    <w:rsid w:val="2F8135BA"/>
    <w:rsid w:val="2FF677AC"/>
    <w:rsid w:val="302E54F0"/>
    <w:rsid w:val="30851151"/>
    <w:rsid w:val="30A772FA"/>
    <w:rsid w:val="31507699"/>
    <w:rsid w:val="31813D45"/>
    <w:rsid w:val="31FB7710"/>
    <w:rsid w:val="32786EF6"/>
    <w:rsid w:val="331F7621"/>
    <w:rsid w:val="332D7CE1"/>
    <w:rsid w:val="33686F6B"/>
    <w:rsid w:val="33A70526"/>
    <w:rsid w:val="33A819B6"/>
    <w:rsid w:val="348F6760"/>
    <w:rsid w:val="34A4335D"/>
    <w:rsid w:val="34FA1E45"/>
    <w:rsid w:val="3570073D"/>
    <w:rsid w:val="35D2691D"/>
    <w:rsid w:val="35E548A3"/>
    <w:rsid w:val="35EE6443"/>
    <w:rsid w:val="36102183"/>
    <w:rsid w:val="366C6D72"/>
    <w:rsid w:val="368E25BE"/>
    <w:rsid w:val="36A30716"/>
    <w:rsid w:val="37242F9D"/>
    <w:rsid w:val="376C2B53"/>
    <w:rsid w:val="37C702A9"/>
    <w:rsid w:val="37F9283D"/>
    <w:rsid w:val="38D16693"/>
    <w:rsid w:val="393623DE"/>
    <w:rsid w:val="3A6154D0"/>
    <w:rsid w:val="3A8A46FF"/>
    <w:rsid w:val="3A8D7475"/>
    <w:rsid w:val="3AB5210B"/>
    <w:rsid w:val="3ABE56C2"/>
    <w:rsid w:val="3B1A3241"/>
    <w:rsid w:val="3B4513A3"/>
    <w:rsid w:val="3B697D24"/>
    <w:rsid w:val="3C1747CF"/>
    <w:rsid w:val="3C2C43E5"/>
    <w:rsid w:val="3C4B4759"/>
    <w:rsid w:val="3C5F3172"/>
    <w:rsid w:val="3C634773"/>
    <w:rsid w:val="3CAA7622"/>
    <w:rsid w:val="3CBB3B2E"/>
    <w:rsid w:val="3D257C7B"/>
    <w:rsid w:val="3D4A5E08"/>
    <w:rsid w:val="3D743BD2"/>
    <w:rsid w:val="3DDD1152"/>
    <w:rsid w:val="3DE33AFD"/>
    <w:rsid w:val="3F6F342F"/>
    <w:rsid w:val="3F80513D"/>
    <w:rsid w:val="3F8913C1"/>
    <w:rsid w:val="3FD25E21"/>
    <w:rsid w:val="3FD355E6"/>
    <w:rsid w:val="3FFE2074"/>
    <w:rsid w:val="40294CB3"/>
    <w:rsid w:val="405651CC"/>
    <w:rsid w:val="41004C87"/>
    <w:rsid w:val="41516E84"/>
    <w:rsid w:val="41596145"/>
    <w:rsid w:val="41765D5A"/>
    <w:rsid w:val="41DF74C3"/>
    <w:rsid w:val="42E162A5"/>
    <w:rsid w:val="43857D39"/>
    <w:rsid w:val="43DE6155"/>
    <w:rsid w:val="4447497A"/>
    <w:rsid w:val="4488246F"/>
    <w:rsid w:val="44FA3C5F"/>
    <w:rsid w:val="45D4223E"/>
    <w:rsid w:val="46953AA5"/>
    <w:rsid w:val="478859BA"/>
    <w:rsid w:val="488B752C"/>
    <w:rsid w:val="48AE4431"/>
    <w:rsid w:val="48F14EB5"/>
    <w:rsid w:val="490B736D"/>
    <w:rsid w:val="4937535F"/>
    <w:rsid w:val="494D61AB"/>
    <w:rsid w:val="499D334C"/>
    <w:rsid w:val="49D630AE"/>
    <w:rsid w:val="4A15226D"/>
    <w:rsid w:val="4A18316A"/>
    <w:rsid w:val="4A2C4AC9"/>
    <w:rsid w:val="4A4A6F73"/>
    <w:rsid w:val="4A845D29"/>
    <w:rsid w:val="4BE86A43"/>
    <w:rsid w:val="4C130217"/>
    <w:rsid w:val="4C9B43CD"/>
    <w:rsid w:val="4CE03DC6"/>
    <w:rsid w:val="4CE70AA9"/>
    <w:rsid w:val="4D0429E5"/>
    <w:rsid w:val="4D2E6CE7"/>
    <w:rsid w:val="4D8F3AF7"/>
    <w:rsid w:val="4DB57414"/>
    <w:rsid w:val="4EAF3848"/>
    <w:rsid w:val="4EC45545"/>
    <w:rsid w:val="4FBA06F6"/>
    <w:rsid w:val="501C6CBB"/>
    <w:rsid w:val="505622BB"/>
    <w:rsid w:val="50A96A4E"/>
    <w:rsid w:val="50E377D9"/>
    <w:rsid w:val="515F51BF"/>
    <w:rsid w:val="5179348D"/>
    <w:rsid w:val="51D30B3A"/>
    <w:rsid w:val="51D533B4"/>
    <w:rsid w:val="51D724C5"/>
    <w:rsid w:val="520A4751"/>
    <w:rsid w:val="52BA0CE7"/>
    <w:rsid w:val="52C33D66"/>
    <w:rsid w:val="531B6BF3"/>
    <w:rsid w:val="532C06D7"/>
    <w:rsid w:val="535B7AFB"/>
    <w:rsid w:val="535E3E2C"/>
    <w:rsid w:val="53664CF7"/>
    <w:rsid w:val="54143519"/>
    <w:rsid w:val="54AC25F6"/>
    <w:rsid w:val="550570DA"/>
    <w:rsid w:val="556A671B"/>
    <w:rsid w:val="558461D9"/>
    <w:rsid w:val="558F7C3D"/>
    <w:rsid w:val="55D24225"/>
    <w:rsid w:val="55FB55C5"/>
    <w:rsid w:val="563C5A55"/>
    <w:rsid w:val="565E03F5"/>
    <w:rsid w:val="56625644"/>
    <w:rsid w:val="56B83A9F"/>
    <w:rsid w:val="56FE0236"/>
    <w:rsid w:val="575546F8"/>
    <w:rsid w:val="57A71FE7"/>
    <w:rsid w:val="589B71FE"/>
    <w:rsid w:val="58C86F65"/>
    <w:rsid w:val="592856EA"/>
    <w:rsid w:val="592E180D"/>
    <w:rsid w:val="599124C8"/>
    <w:rsid w:val="59C0079C"/>
    <w:rsid w:val="5A0A79F4"/>
    <w:rsid w:val="5A2E48FE"/>
    <w:rsid w:val="5AEB4E62"/>
    <w:rsid w:val="5B2566C3"/>
    <w:rsid w:val="5B464539"/>
    <w:rsid w:val="5B533C27"/>
    <w:rsid w:val="5B5F04BE"/>
    <w:rsid w:val="5BCC2754"/>
    <w:rsid w:val="5C13439A"/>
    <w:rsid w:val="5C91458D"/>
    <w:rsid w:val="5CEB6393"/>
    <w:rsid w:val="5D510175"/>
    <w:rsid w:val="5E0941FD"/>
    <w:rsid w:val="5E251431"/>
    <w:rsid w:val="5E714B4B"/>
    <w:rsid w:val="5E9B7A63"/>
    <w:rsid w:val="5EDC519E"/>
    <w:rsid w:val="5F2152BE"/>
    <w:rsid w:val="5F790472"/>
    <w:rsid w:val="5FAB440D"/>
    <w:rsid w:val="600B41C0"/>
    <w:rsid w:val="609E5A0A"/>
    <w:rsid w:val="61245501"/>
    <w:rsid w:val="614554F1"/>
    <w:rsid w:val="61C41F85"/>
    <w:rsid w:val="61D902B3"/>
    <w:rsid w:val="61F31B65"/>
    <w:rsid w:val="61FE0917"/>
    <w:rsid w:val="62A873CF"/>
    <w:rsid w:val="62F64A26"/>
    <w:rsid w:val="63124410"/>
    <w:rsid w:val="63971BF0"/>
    <w:rsid w:val="64322AF9"/>
    <w:rsid w:val="644068B3"/>
    <w:rsid w:val="64A137DB"/>
    <w:rsid w:val="64F37C70"/>
    <w:rsid w:val="655967F7"/>
    <w:rsid w:val="656A6211"/>
    <w:rsid w:val="65982872"/>
    <w:rsid w:val="65CC749D"/>
    <w:rsid w:val="65FD2440"/>
    <w:rsid w:val="660D2ED6"/>
    <w:rsid w:val="662B306A"/>
    <w:rsid w:val="667B3B98"/>
    <w:rsid w:val="66E3632D"/>
    <w:rsid w:val="66F03545"/>
    <w:rsid w:val="67610D26"/>
    <w:rsid w:val="6772226E"/>
    <w:rsid w:val="67790EB3"/>
    <w:rsid w:val="67D74856"/>
    <w:rsid w:val="67F2493E"/>
    <w:rsid w:val="682B7F8C"/>
    <w:rsid w:val="68733169"/>
    <w:rsid w:val="689C69F1"/>
    <w:rsid w:val="68CE6441"/>
    <w:rsid w:val="69014390"/>
    <w:rsid w:val="691A63D1"/>
    <w:rsid w:val="692746F0"/>
    <w:rsid w:val="69307ACB"/>
    <w:rsid w:val="69AB65A6"/>
    <w:rsid w:val="69DA0EE9"/>
    <w:rsid w:val="6A0C66FA"/>
    <w:rsid w:val="6A9F2FC6"/>
    <w:rsid w:val="6AA36AD3"/>
    <w:rsid w:val="6ACE4BFE"/>
    <w:rsid w:val="6B284039"/>
    <w:rsid w:val="6B50061A"/>
    <w:rsid w:val="6C1558C9"/>
    <w:rsid w:val="6C4A52D0"/>
    <w:rsid w:val="6C751191"/>
    <w:rsid w:val="6C894CE5"/>
    <w:rsid w:val="6C90639F"/>
    <w:rsid w:val="6CD37FEC"/>
    <w:rsid w:val="6D6C2BD8"/>
    <w:rsid w:val="6D744246"/>
    <w:rsid w:val="6DF3371C"/>
    <w:rsid w:val="6E73617A"/>
    <w:rsid w:val="6E7F6350"/>
    <w:rsid w:val="6E871319"/>
    <w:rsid w:val="6ED42055"/>
    <w:rsid w:val="6F3312B5"/>
    <w:rsid w:val="6F5245B1"/>
    <w:rsid w:val="6F77220A"/>
    <w:rsid w:val="6F90302E"/>
    <w:rsid w:val="6FC671DF"/>
    <w:rsid w:val="701D437B"/>
    <w:rsid w:val="7064403B"/>
    <w:rsid w:val="7119196C"/>
    <w:rsid w:val="722E2C6B"/>
    <w:rsid w:val="72484CEE"/>
    <w:rsid w:val="725231FB"/>
    <w:rsid w:val="726A16B0"/>
    <w:rsid w:val="72934434"/>
    <w:rsid w:val="73281C56"/>
    <w:rsid w:val="73372296"/>
    <w:rsid w:val="739C1D3D"/>
    <w:rsid w:val="73A81128"/>
    <w:rsid w:val="73E6120B"/>
    <w:rsid w:val="74456E82"/>
    <w:rsid w:val="746217A5"/>
    <w:rsid w:val="7466132F"/>
    <w:rsid w:val="74884070"/>
    <w:rsid w:val="74E611F8"/>
    <w:rsid w:val="7607361A"/>
    <w:rsid w:val="761C68F3"/>
    <w:rsid w:val="7625426C"/>
    <w:rsid w:val="76645141"/>
    <w:rsid w:val="76EB5AE3"/>
    <w:rsid w:val="772E207D"/>
    <w:rsid w:val="77451D97"/>
    <w:rsid w:val="778525A0"/>
    <w:rsid w:val="77BA7F63"/>
    <w:rsid w:val="77D0645A"/>
    <w:rsid w:val="77F959B0"/>
    <w:rsid w:val="78422104"/>
    <w:rsid w:val="789706D7"/>
    <w:rsid w:val="78E51C5C"/>
    <w:rsid w:val="794640E5"/>
    <w:rsid w:val="797D43BF"/>
    <w:rsid w:val="799F7E92"/>
    <w:rsid w:val="79C35A81"/>
    <w:rsid w:val="79EF706B"/>
    <w:rsid w:val="7A2B7F3A"/>
    <w:rsid w:val="7A37631C"/>
    <w:rsid w:val="7A4A1B88"/>
    <w:rsid w:val="7A6873EA"/>
    <w:rsid w:val="7B4038F6"/>
    <w:rsid w:val="7BAB16CE"/>
    <w:rsid w:val="7BB30D54"/>
    <w:rsid w:val="7BF8609D"/>
    <w:rsid w:val="7C195A3A"/>
    <w:rsid w:val="7C624CEC"/>
    <w:rsid w:val="7D2731DC"/>
    <w:rsid w:val="7DC90EF7"/>
    <w:rsid w:val="7E4435B5"/>
    <w:rsid w:val="7E6E2528"/>
    <w:rsid w:val="7F076C05"/>
    <w:rsid w:val="7F1906E6"/>
    <w:rsid w:val="7F2856AA"/>
    <w:rsid w:val="7F345520"/>
    <w:rsid w:val="7F4C286A"/>
    <w:rsid w:val="7F6D38CC"/>
    <w:rsid w:val="7F982E42"/>
    <w:rsid w:val="7FAD422D"/>
    <w:rsid w:val="7FC31AA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nhideWhenUsed="0" w:uiPriority="99"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qFormat="1"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6">
    <w:name w:val="heading 5"/>
    <w:basedOn w:val="1"/>
    <w:next w:val="1"/>
    <w:autoRedefine/>
    <w:qFormat/>
    <w:uiPriority w:val="99"/>
    <w:pPr>
      <w:tabs>
        <w:tab w:val="left" w:pos="1128"/>
        <w:tab w:val="left" w:pos="1364"/>
        <w:tab w:val="left" w:pos="2570"/>
      </w:tabs>
      <w:spacing w:line="360" w:lineRule="auto"/>
      <w:jc w:val="center"/>
      <w:outlineLvl w:val="4"/>
    </w:pPr>
    <w:rPr>
      <w:b/>
    </w:rPr>
  </w:style>
  <w:style w:type="character" w:default="1" w:styleId="26">
    <w:name w:val="Default Paragraph Font"/>
    <w:autoRedefine/>
    <w:qFormat/>
    <w:uiPriority w:val="0"/>
  </w:style>
  <w:style w:type="table" w:default="1" w:styleId="24">
    <w:name w:val="Normal Table"/>
    <w:autoRedefine/>
    <w:unhideWhenUsed/>
    <w:qFormat/>
    <w:uiPriority w:val="99"/>
    <w:tblPr>
      <w:tblCellMar>
        <w:top w:w="0" w:type="dxa"/>
        <w:left w:w="108" w:type="dxa"/>
        <w:bottom w:w="0" w:type="dxa"/>
        <w:right w:w="108" w:type="dxa"/>
      </w:tblCellMar>
    </w:tblPr>
  </w:style>
  <w:style w:type="paragraph" w:customStyle="1" w:styleId="2">
    <w:name w:val="Default"/>
    <w:basedOn w:val="3"/>
    <w:next w:val="1"/>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
    <w:name w:val="纯文本1"/>
    <w:basedOn w:val="1"/>
    <w:next w:val="4"/>
    <w:autoRedefine/>
    <w:qFormat/>
    <w:uiPriority w:val="0"/>
    <w:pPr>
      <w:adjustRightInd w:val="0"/>
      <w:ind w:firstLine="0"/>
      <w:jc w:val="center"/>
      <w:textAlignment w:val="baseline"/>
    </w:pPr>
    <w:rPr>
      <w:rFonts w:ascii="宋体" w:hAnsi="Courier New"/>
    </w:rPr>
  </w:style>
  <w:style w:type="paragraph" w:styleId="4">
    <w:name w:val="Plain Text"/>
    <w:basedOn w:val="1"/>
    <w:next w:val="5"/>
    <w:autoRedefine/>
    <w:qFormat/>
    <w:uiPriority w:val="0"/>
    <w:rPr>
      <w:rFonts w:ascii="宋体" w:hAnsi="Courier New"/>
    </w:rPr>
  </w:style>
  <w:style w:type="paragraph" w:styleId="5">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7">
    <w:name w:val="List 3"/>
    <w:basedOn w:val="1"/>
    <w:next w:val="1"/>
    <w:autoRedefine/>
    <w:qFormat/>
    <w:uiPriority w:val="0"/>
    <w:pPr>
      <w:autoSpaceDE w:val="0"/>
      <w:autoSpaceDN w:val="0"/>
      <w:adjustRightInd w:val="0"/>
      <w:spacing w:line="288" w:lineRule="auto"/>
      <w:ind w:left="1260" w:hanging="420"/>
      <w:jc w:val="left"/>
      <w:textAlignment w:val="baseline"/>
    </w:pPr>
    <w:rPr>
      <w:kern w:val="0"/>
      <w:sz w:val="24"/>
    </w:rPr>
  </w:style>
  <w:style w:type="paragraph" w:styleId="8">
    <w:name w:val="E-mail Signature"/>
    <w:basedOn w:val="1"/>
    <w:next w:val="9"/>
    <w:autoRedefine/>
    <w:qFormat/>
    <w:uiPriority w:val="0"/>
    <w:pPr>
      <w:spacing w:line="460" w:lineRule="exact"/>
      <w:ind w:firstLine="200"/>
    </w:pPr>
    <w:rPr>
      <w:sz w:val="24"/>
    </w:rPr>
  </w:style>
  <w:style w:type="paragraph" w:customStyle="1" w:styleId="9">
    <w:name w:val="文章"/>
    <w:basedOn w:val="10"/>
    <w:next w:val="11"/>
    <w:autoRedefine/>
    <w:qFormat/>
    <w:uiPriority w:val="0"/>
    <w:pPr>
      <w:widowControl/>
      <w:ind w:firstLine="480"/>
      <w:jc w:val="center"/>
    </w:pPr>
    <w:rPr>
      <w:sz w:val="26"/>
    </w:rPr>
  </w:style>
  <w:style w:type="paragraph" w:styleId="10">
    <w:name w:val="Body Text Indent"/>
    <w:basedOn w:val="1"/>
    <w:autoRedefine/>
    <w:qFormat/>
    <w:uiPriority w:val="0"/>
    <w:pPr>
      <w:spacing w:line="360" w:lineRule="auto"/>
      <w:ind w:firstLine="482" w:firstLineChars="200"/>
    </w:pPr>
    <w:rPr>
      <w:b/>
      <w:bCs/>
      <w:sz w:val="24"/>
    </w:rPr>
  </w:style>
  <w:style w:type="paragraph" w:styleId="11">
    <w:name w:val="List"/>
    <w:basedOn w:val="1"/>
    <w:next w:val="1"/>
    <w:autoRedefine/>
    <w:qFormat/>
    <w:uiPriority w:val="0"/>
    <w:pPr>
      <w:ind w:left="200" w:hanging="200" w:hangingChars="200"/>
    </w:pPr>
  </w:style>
  <w:style w:type="paragraph" w:styleId="12">
    <w:name w:val="Normal Indent"/>
    <w:basedOn w:val="1"/>
    <w:autoRedefine/>
    <w:qFormat/>
    <w:uiPriority w:val="0"/>
    <w:pPr>
      <w:ind w:firstLine="420"/>
    </w:pPr>
    <w:rPr>
      <w:szCs w:val="20"/>
    </w:rPr>
  </w:style>
  <w:style w:type="paragraph" w:styleId="13">
    <w:name w:val="annotation text"/>
    <w:basedOn w:val="1"/>
    <w:next w:val="14"/>
    <w:autoRedefine/>
    <w:qFormat/>
    <w:uiPriority w:val="0"/>
    <w:pPr>
      <w:jc w:val="left"/>
    </w:pPr>
  </w:style>
  <w:style w:type="paragraph" w:styleId="14">
    <w:name w:val="toc 5"/>
    <w:basedOn w:val="1"/>
    <w:next w:val="1"/>
    <w:autoRedefine/>
    <w:qFormat/>
    <w:uiPriority w:val="39"/>
    <w:pPr>
      <w:ind w:left="960"/>
      <w:jc w:val="left"/>
    </w:pPr>
    <w:rPr>
      <w:rFonts w:ascii="Calibri" w:hAnsi="Calibri"/>
      <w:sz w:val="18"/>
      <w:szCs w:val="18"/>
    </w:rPr>
  </w:style>
  <w:style w:type="paragraph" w:styleId="15">
    <w:name w:val="Body Text"/>
    <w:basedOn w:val="1"/>
    <w:autoRedefine/>
    <w:qFormat/>
    <w:uiPriority w:val="0"/>
    <w:pPr>
      <w:widowControl w:val="0"/>
      <w:spacing w:line="580" w:lineRule="exact"/>
      <w:jc w:val="center"/>
    </w:pPr>
    <w:rPr>
      <w:rFonts w:eastAsia="黑体"/>
      <w:sz w:val="44"/>
    </w:rPr>
  </w:style>
  <w:style w:type="paragraph" w:styleId="16">
    <w:name w:val="List Bullet 2"/>
    <w:basedOn w:val="1"/>
    <w:next w:val="17"/>
    <w:autoRedefine/>
    <w:qFormat/>
    <w:uiPriority w:val="0"/>
    <w:pPr>
      <w:numPr>
        <w:ilvl w:val="0"/>
        <w:numId w:val="1"/>
      </w:numPr>
    </w:pPr>
  </w:style>
  <w:style w:type="paragraph" w:customStyle="1" w:styleId="17">
    <w:name w:val="xl70"/>
    <w:basedOn w:val="1"/>
    <w:next w:val="18"/>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18">
    <w:name w:val="正文缩进1"/>
    <w:basedOn w:val="12"/>
    <w:next w:val="19"/>
    <w:autoRedefine/>
    <w:qFormat/>
    <w:uiPriority w:val="0"/>
    <w:pPr>
      <w:ind w:firstLine="420"/>
    </w:pPr>
  </w:style>
  <w:style w:type="paragraph" w:customStyle="1" w:styleId="19">
    <w:name w:val="td1"/>
    <w:basedOn w:val="1"/>
    <w:next w:val="1"/>
    <w:autoRedefine/>
    <w:qFormat/>
    <w:uiPriority w:val="0"/>
    <w:pPr>
      <w:widowControl/>
      <w:spacing w:before="280" w:after="280" w:line="300" w:lineRule="atLeast"/>
      <w:ind w:firstLine="200"/>
    </w:pPr>
    <w:rPr>
      <w:color w:val="000000"/>
      <w:sz w:val="18"/>
    </w:rPr>
  </w:style>
  <w:style w:type="paragraph" w:styleId="20">
    <w:name w:val="footer"/>
    <w:basedOn w:val="1"/>
    <w:autoRedefine/>
    <w:qFormat/>
    <w:uiPriority w:val="0"/>
    <w:pPr>
      <w:tabs>
        <w:tab w:val="center" w:pos="4153"/>
        <w:tab w:val="right" w:pos="8306"/>
      </w:tabs>
      <w:snapToGrid w:val="0"/>
      <w:jc w:val="left"/>
    </w:pPr>
    <w:rPr>
      <w:sz w:val="18"/>
    </w:rPr>
  </w:style>
  <w:style w:type="paragraph" w:styleId="21">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paragraph" w:styleId="22">
    <w:name w:val="toc 2"/>
    <w:basedOn w:val="1"/>
    <w:next w:val="1"/>
    <w:autoRedefine/>
    <w:qFormat/>
    <w:uiPriority w:val="0"/>
    <w:pPr>
      <w:ind w:left="240"/>
      <w:jc w:val="left"/>
    </w:pPr>
    <w:rPr>
      <w:rFonts w:ascii="Times New Roman" w:hAnsi="Times New Roman"/>
      <w:smallCaps/>
      <w:sz w:val="20"/>
      <w:szCs w:val="20"/>
    </w:rPr>
  </w:style>
  <w:style w:type="paragraph" w:styleId="23">
    <w:name w:val="Body Text First Indent 2"/>
    <w:basedOn w:val="10"/>
    <w:autoRedefine/>
    <w:qFormat/>
    <w:uiPriority w:val="0"/>
    <w:pPr>
      <w:spacing w:after="120" w:afterLines="0" w:line="240" w:lineRule="auto"/>
      <w:ind w:left="420" w:leftChars="200" w:firstLine="420"/>
    </w:pPr>
    <w:rPr>
      <w:b w:val="0"/>
      <w:bCs w:val="0"/>
      <w:sz w:val="21"/>
    </w:rPr>
  </w:style>
  <w:style w:type="table" w:styleId="25">
    <w:name w:val="Table Grid"/>
    <w:basedOn w:val="24"/>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page number"/>
    <w:basedOn w:val="26"/>
    <w:autoRedefine/>
    <w:qFormat/>
    <w:uiPriority w:val="0"/>
  </w:style>
  <w:style w:type="character" w:styleId="28">
    <w:name w:val="FollowedHyperlink"/>
    <w:basedOn w:val="26"/>
    <w:autoRedefine/>
    <w:qFormat/>
    <w:uiPriority w:val="0"/>
    <w:rPr>
      <w:color w:val="333333"/>
      <w:u w:val="none"/>
    </w:rPr>
  </w:style>
  <w:style w:type="character" w:styleId="29">
    <w:name w:val="HTML Acronym"/>
    <w:basedOn w:val="26"/>
    <w:autoRedefine/>
    <w:qFormat/>
    <w:uiPriority w:val="0"/>
  </w:style>
  <w:style w:type="character" w:styleId="30">
    <w:name w:val="Hyperlink"/>
    <w:basedOn w:val="26"/>
    <w:autoRedefine/>
    <w:qFormat/>
    <w:uiPriority w:val="0"/>
    <w:rPr>
      <w:color w:val="333333"/>
      <w:u w:val="none"/>
    </w:rPr>
  </w:style>
  <w:style w:type="paragraph" w:customStyle="1" w:styleId="31">
    <w:name w:val="样式1"/>
    <w:basedOn w:val="32"/>
    <w:autoRedefine/>
    <w:qFormat/>
    <w:uiPriority w:val="0"/>
    <w:pPr>
      <w:ind w:firstLine="708" w:firstLineChars="236"/>
    </w:pPr>
    <w:rPr>
      <w:rFonts w:ascii="??_GB2312" w:hAnsi="Times New Roman" w:eastAsia="宋体" w:cs="??_GB2312"/>
      <w:sz w:val="30"/>
      <w:szCs w:val="30"/>
    </w:rPr>
  </w:style>
  <w:style w:type="paragraph" w:customStyle="1" w:styleId="32">
    <w:name w:val="正文1"/>
    <w:basedOn w:val="1"/>
    <w:autoRedefine/>
    <w:qFormat/>
    <w:uiPriority w:val="0"/>
    <w:pPr>
      <w:adjustRightInd w:val="0"/>
    </w:pPr>
    <w:rPr>
      <w:rFonts w:eastAsia="楷体_GB2312"/>
      <w:sz w:val="24"/>
    </w:rPr>
  </w:style>
  <w:style w:type="paragraph" w:customStyle="1" w:styleId="33">
    <w:name w:val="样式35"/>
    <w:basedOn w:val="34"/>
    <w:next w:val="39"/>
    <w:autoRedefine/>
    <w:qFormat/>
    <w:uiPriority w:val="0"/>
    <w:pPr>
      <w:tabs>
        <w:tab w:val="left" w:pos="0"/>
        <w:tab w:val="left" w:pos="360"/>
        <w:tab w:val="left" w:pos="540"/>
        <w:tab w:val="left" w:pos="567"/>
        <w:tab w:val="left" w:pos="720"/>
        <w:tab w:val="left" w:pos="1008"/>
        <w:tab w:val="left" w:pos="2570"/>
        <w:tab w:val="left" w:pos="4140"/>
      </w:tabs>
      <w:adjustRightInd w:val="0"/>
      <w:spacing w:line="360" w:lineRule="auto"/>
      <w:ind w:firstLine="0" w:firstLineChars="0"/>
      <w:textAlignment w:val="baseline"/>
    </w:pPr>
    <w:rPr>
      <w:rFonts w:ascii="Times New Roman" w:hAnsi="Times New Roman" w:eastAsia="宋体"/>
      <w:kern w:val="0"/>
      <w:sz w:val="24"/>
    </w:rPr>
  </w:style>
  <w:style w:type="paragraph" w:customStyle="1" w:styleId="34">
    <w:name w:val="样式26"/>
    <w:basedOn w:val="35"/>
    <w:autoRedefine/>
    <w:qFormat/>
    <w:uiPriority w:val="0"/>
    <w:pPr>
      <w:tabs>
        <w:tab w:val="left" w:pos="0"/>
        <w:tab w:val="left" w:pos="360"/>
        <w:tab w:val="left" w:pos="540"/>
        <w:tab w:val="left" w:pos="567"/>
        <w:tab w:val="left" w:pos="720"/>
        <w:tab w:val="left" w:pos="1008"/>
        <w:tab w:val="left" w:pos="2570"/>
        <w:tab w:val="left" w:pos="4140"/>
      </w:tabs>
    </w:pPr>
  </w:style>
  <w:style w:type="paragraph" w:customStyle="1" w:styleId="35">
    <w:name w:val="样式21"/>
    <w:basedOn w:val="36"/>
    <w:autoRedefine/>
    <w:qFormat/>
    <w:uiPriority w:val="0"/>
    <w:pPr>
      <w:tabs>
        <w:tab w:val="left" w:pos="360"/>
        <w:tab w:val="left" w:pos="540"/>
        <w:tab w:val="left" w:pos="720"/>
        <w:tab w:val="left" w:pos="1008"/>
        <w:tab w:val="left" w:pos="2570"/>
        <w:tab w:val="left" w:pos="4140"/>
      </w:tabs>
      <w:spacing w:before="120" w:beforeLines="50" w:after="120" w:afterLines="50" w:line="360" w:lineRule="auto"/>
      <w:ind w:left="720" w:hanging="720"/>
      <w:outlineLvl w:val="2"/>
    </w:pPr>
    <w:rPr>
      <w:rFonts w:eastAsia="MS Mincho"/>
      <w:kern w:val="0"/>
      <w:sz w:val="24"/>
      <w:szCs w:val="32"/>
    </w:rPr>
  </w:style>
  <w:style w:type="paragraph" w:customStyle="1" w:styleId="36">
    <w:name w:val="样式5"/>
    <w:basedOn w:val="37"/>
    <w:autoRedefine/>
    <w:qFormat/>
    <w:uiPriority w:val="0"/>
    <w:pPr>
      <w:tabs>
        <w:tab w:val="left" w:pos="1008"/>
        <w:tab w:val="left" w:pos="2570"/>
        <w:tab w:val="left" w:pos="4140"/>
      </w:tabs>
      <w:ind w:left="482" w:firstLine="0" w:firstLineChars="0"/>
    </w:pPr>
    <w:rPr>
      <w:rFonts w:eastAsia="仿宋_GB2312"/>
      <w:b w:val="0"/>
    </w:rPr>
  </w:style>
  <w:style w:type="paragraph" w:customStyle="1" w:styleId="37">
    <w:name w:val="样式12"/>
    <w:basedOn w:val="38"/>
    <w:autoRedefine/>
    <w:qFormat/>
    <w:uiPriority w:val="0"/>
    <w:pPr>
      <w:tabs>
        <w:tab w:val="left" w:pos="1008"/>
        <w:tab w:val="left" w:pos="2570"/>
        <w:tab w:val="left" w:pos="4140"/>
      </w:tabs>
      <w:ind w:firstLine="200" w:firstLineChars="200"/>
    </w:pPr>
    <w:rPr>
      <w:rFonts w:eastAsia="宋体"/>
    </w:rPr>
  </w:style>
  <w:style w:type="paragraph" w:customStyle="1" w:styleId="38">
    <w:name w:val="样式 标题 3标题 3 Char标题3H3h33rd level第二层条三级标题ReHead 3 WSA头..."/>
    <w:autoRedefine/>
    <w:qFormat/>
    <w:uiPriority w:val="0"/>
    <w:pPr>
      <w:widowControl w:val="0"/>
      <w:numPr>
        <w:ilvl w:val="2"/>
        <w:numId w:val="2"/>
      </w:numPr>
      <w:tabs>
        <w:tab w:val="left" w:pos="4140"/>
      </w:tabs>
      <w:spacing w:line="360" w:lineRule="auto"/>
      <w:ind w:left="4140" w:firstLine="0"/>
      <w:outlineLvl w:val="2"/>
    </w:pPr>
    <w:rPr>
      <w:rFonts w:hint="eastAsia" w:ascii="Calibri" w:hAnsi="Calibri" w:eastAsia="黑体" w:cs="Times New Roman"/>
      <w:b/>
      <w:color w:val="FF0000"/>
      <w:sz w:val="30"/>
      <w:szCs w:val="27"/>
      <w:lang w:val="en-US" w:eastAsia="zh-CN" w:bidi="ar-SA"/>
    </w:rPr>
  </w:style>
  <w:style w:type="paragraph" w:customStyle="1" w:styleId="39">
    <w:name w:val="font6"/>
    <w:next w:val="22"/>
    <w:autoRedefine/>
    <w:qFormat/>
    <w:uiPriority w:val="0"/>
    <w:pPr>
      <w:spacing w:before="280" w:after="280"/>
      <w:jc w:val="both"/>
    </w:pPr>
    <w:rPr>
      <w:rFonts w:ascii="Calibri" w:hAnsi="Calibri" w:eastAsia="宋体" w:cs="Times New Roman"/>
      <w:kern w:val="2"/>
      <w:sz w:val="21"/>
      <w:szCs w:val="22"/>
      <w:lang w:val="en-US" w:eastAsia="zh-CN" w:bidi="ar-SA"/>
    </w:rPr>
  </w:style>
  <w:style w:type="paragraph" w:customStyle="1" w:styleId="40">
    <w:name w:val="TOC 2"/>
    <w:basedOn w:val="1"/>
    <w:next w:val="1"/>
    <w:autoRedefine/>
    <w:qFormat/>
    <w:uiPriority w:val="0"/>
    <w:pPr>
      <w:tabs>
        <w:tab w:val="right" w:leader="dot" w:pos="9060"/>
      </w:tabs>
      <w:spacing w:line="360" w:lineRule="auto"/>
      <w:ind w:left="420" w:leftChars="200"/>
    </w:pPr>
  </w:style>
  <w:style w:type="character" w:customStyle="1" w:styleId="41">
    <w:name w:val="msg-box8"/>
    <w:basedOn w:val="26"/>
    <w:autoRedefine/>
    <w:qFormat/>
    <w:uiPriority w:val="0"/>
  </w:style>
  <w:style w:type="character" w:customStyle="1" w:styleId="42">
    <w:name w:val="num24"/>
    <w:basedOn w:val="26"/>
    <w:autoRedefine/>
    <w:qFormat/>
    <w:uiPriority w:val="0"/>
    <w:rPr>
      <w:rFonts w:ascii="寰蒋闆呴粦" w:hAnsi="寰蒋闆呴粦" w:eastAsia="寰蒋闆呴粦" w:cs="寰蒋闆呴粦"/>
      <w:color w:val="999999"/>
    </w:rPr>
  </w:style>
  <w:style w:type="character" w:customStyle="1" w:styleId="43">
    <w:name w:val="bsharetext"/>
    <w:basedOn w:val="26"/>
    <w:autoRedefine/>
    <w:qFormat/>
    <w:uiPriority w:val="0"/>
  </w:style>
  <w:style w:type="character" w:customStyle="1" w:styleId="44">
    <w:name w:val="c1"/>
    <w:basedOn w:val="26"/>
    <w:autoRedefine/>
    <w:qFormat/>
    <w:uiPriority w:val="0"/>
  </w:style>
  <w:style w:type="character" w:customStyle="1" w:styleId="45">
    <w:name w:val="c2"/>
    <w:basedOn w:val="26"/>
    <w:autoRedefine/>
    <w:qFormat/>
    <w:uiPriority w:val="0"/>
  </w:style>
  <w:style w:type="character" w:customStyle="1" w:styleId="46">
    <w:name w:val="video-hit"/>
    <w:basedOn w:val="26"/>
    <w:autoRedefine/>
    <w:qFormat/>
    <w:uiPriority w:val="0"/>
  </w:style>
  <w:style w:type="character" w:customStyle="1" w:styleId="47">
    <w:name w:val="img-title"/>
    <w:basedOn w:val="26"/>
    <w:autoRedefine/>
    <w:qFormat/>
    <w:uiPriority w:val="0"/>
    <w:rPr>
      <w:vanish/>
    </w:rPr>
  </w:style>
  <w:style w:type="character" w:customStyle="1" w:styleId="48">
    <w:name w:val="name6"/>
    <w:basedOn w:val="26"/>
    <w:autoRedefine/>
    <w:qFormat/>
    <w:uiPriority w:val="0"/>
  </w:style>
  <w:style w:type="character" w:customStyle="1" w:styleId="49">
    <w:name w:val="c3"/>
    <w:basedOn w:val="26"/>
    <w:autoRedefine/>
    <w:qFormat/>
    <w:uiPriority w:val="0"/>
  </w:style>
  <w:style w:type="paragraph" w:customStyle="1" w:styleId="50">
    <w:name w:val="Default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1">
    <w:name w:val=" Char"/>
    <w:basedOn w:val="1"/>
    <w:autoRedefine/>
    <w:qFormat/>
    <w:uiPriority w:val="0"/>
    <w:pPr>
      <w:adjustRightInd/>
      <w:jc w:val="both"/>
      <w:textAlignment w:val="auto"/>
    </w:pPr>
  </w:style>
  <w:style w:type="paragraph" w:customStyle="1" w:styleId="52">
    <w:name w:val="正文·"/>
    <w:basedOn w:val="1"/>
    <w:autoRedefine/>
    <w:qFormat/>
    <w:uiPriority w:val="0"/>
    <w:pPr>
      <w:ind w:firstLine="48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360MoveData\Users\Administrator\Desktop\Normal.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Normal.wpt</Template>
  <Pages>6</Pages>
  <Words>1655</Words>
  <Characters>1755</Characters>
  <Lines>12</Lines>
  <Paragraphs>3</Paragraphs>
  <TotalTime>0</TotalTime>
  <ScaleCrop>false</ScaleCrop>
  <LinksUpToDate>false</LinksUpToDate>
  <CharactersWithSpaces>1759</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2019-08-28T08:49:00Z</dcterms:created>
  <dc:creator>梁肇辉</dc:creator>
  <cp:lastModifiedBy>小梁</cp:lastModifiedBy>
  <cp:lastPrinted>2026-07-24T06:53:00Z</cp:lastPrinted>
  <dcterms:modified xsi:type="dcterms:W3CDTF">2026-09-18T08:39:44Z</dcterms:modified>
  <dc:title>阳环（春）建审〔2019〕  号</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A369DA31F1E647178DFB068ACB56AA23_13</vt:lpwstr>
  </property>
  <property fmtid="{D5CDD505-2E9C-101B-9397-08002B2CF9AE}" pid="4" name="KSOTemplateDocerSaveRecord">
    <vt:lpwstr>eyJoZGlkIjoiZmIxNDBkMWQ4ODgwZGJjMTZkMmY4NzM3ZTI2ODdhZDYiLCJ1c2VySWQiOiIxMjEyMjg3Mjk3In0=</vt:lpwstr>
  </property>
</Properties>
</file>