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rPr>
        <w:t>行政处罚信息公开表</w:t>
      </w: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shd w:val="clear" w:color="auto" w:fill="auto"/>
            <w:vAlign w:val="center"/>
          </w:tcPr>
          <w:p>
            <w:pPr>
              <w:spacing w:line="440" w:lineRule="exact"/>
              <w:rPr>
                <w:color w:val="000000"/>
                <w:sz w:val="28"/>
                <w:szCs w:val="28"/>
              </w:rPr>
            </w:pPr>
            <w:r>
              <w:rPr>
                <w:rFonts w:hint="eastAsia"/>
                <w:color w:val="000000"/>
                <w:sz w:val="28"/>
                <w:szCs w:val="28"/>
              </w:rPr>
              <w:t>1</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eastAsia="zh-CN"/>
              </w:rPr>
            </w:pPr>
            <w:r>
              <w:rPr>
                <w:rFonts w:hint="eastAsia" w:ascii="宋体" w:hAnsi="宋体" w:eastAsia="宋体" w:cs="宋体"/>
                <w:i w:val="0"/>
                <w:color w:val="000000"/>
                <w:kern w:val="0"/>
                <w:sz w:val="24"/>
                <w:szCs w:val="24"/>
                <w:u w:val="none"/>
                <w:lang w:val="en-US" w:eastAsia="zh-CN" w:bidi="ar"/>
              </w:rPr>
              <w:t>（阳春）食药监产罚[2017]011号</w:t>
            </w:r>
          </w:p>
        </w:tc>
        <w:tc>
          <w:tcPr>
            <w:tcW w:w="1508" w:type="dxa"/>
            <w:shd w:val="clear" w:color="auto" w:fill="auto"/>
            <w:vAlign w:val="center"/>
          </w:tcPr>
          <w:p>
            <w:pPr>
              <w:keepNext w:val="0"/>
              <w:keepLines w:val="0"/>
              <w:widowControl/>
              <w:suppressLineNumbers w:val="0"/>
              <w:jc w:val="left"/>
              <w:textAlignment w:val="center"/>
              <w:rPr>
                <w:rFonts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阳春市恩德生物科技发展有限公司生产以不合格商品冒充合格商品案</w:t>
            </w:r>
          </w:p>
        </w:tc>
        <w:tc>
          <w:tcPr>
            <w:tcW w:w="1318" w:type="dxa"/>
            <w:shd w:val="clear" w:color="auto" w:fill="auto"/>
            <w:vAlign w:val="center"/>
          </w:tcPr>
          <w:p>
            <w:pPr>
              <w:spacing w:line="440" w:lineRule="exact"/>
              <w:rPr>
                <w:rFonts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阳春市恩德生物科技发展有限公司</w:t>
            </w:r>
          </w:p>
        </w:tc>
        <w:tc>
          <w:tcPr>
            <w:tcW w:w="1486" w:type="dxa"/>
            <w:shd w:val="clear" w:color="auto" w:fill="auto"/>
            <w:vAlign w:val="center"/>
          </w:tcPr>
          <w:p>
            <w:pPr>
              <w:spacing w:line="440" w:lineRule="exact"/>
              <w:rPr>
                <w:rFonts w:hint="eastAsia" w:ascii="仿宋_GB2312" w:eastAsia="仿宋_GB2312"/>
                <w:color w:val="000000"/>
                <w:sz w:val="28"/>
                <w:szCs w:val="28"/>
                <w:lang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spacing w:line="440" w:lineRule="exact"/>
              <w:rPr>
                <w:rFonts w:ascii="仿宋_GB2312" w:eastAsia="仿宋_GB2312"/>
                <w:color w:val="000000"/>
                <w:sz w:val="28"/>
                <w:szCs w:val="28"/>
              </w:rPr>
            </w:pPr>
            <w:r>
              <w:rPr>
                <w:rFonts w:hint="eastAsia" w:ascii="宋体" w:hAnsi="宋体" w:cs="宋体"/>
                <w:i w:val="0"/>
                <w:color w:val="000000"/>
                <w:kern w:val="0"/>
                <w:sz w:val="24"/>
                <w:szCs w:val="24"/>
                <w:u w:val="none"/>
                <w:lang w:val="en-US" w:eastAsia="zh-CN" w:bidi="ar"/>
              </w:rPr>
              <w:t>当事人</w:t>
            </w:r>
            <w:r>
              <w:rPr>
                <w:rFonts w:hint="eastAsia" w:ascii="宋体" w:hAnsi="宋体" w:eastAsia="宋体" w:cs="宋体"/>
                <w:i w:val="0"/>
                <w:color w:val="000000"/>
                <w:kern w:val="0"/>
                <w:sz w:val="24"/>
                <w:szCs w:val="24"/>
                <w:u w:val="none"/>
                <w:lang w:val="en-US" w:eastAsia="zh-CN" w:bidi="ar"/>
              </w:rPr>
              <w:t>生产以不合格商品冒充合格商品</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依据</w:t>
            </w:r>
            <w:r>
              <w:rPr>
                <w:rFonts w:hint="eastAsia" w:ascii="宋体" w:hAnsi="宋体" w:eastAsia="宋体" w:cs="宋体"/>
                <w:i w:val="0"/>
                <w:color w:val="000000"/>
                <w:kern w:val="0"/>
                <w:sz w:val="24"/>
                <w:szCs w:val="24"/>
                <w:u w:val="none"/>
                <w:lang w:val="en-US" w:eastAsia="zh-CN" w:bidi="ar"/>
              </w:rPr>
              <w:t>《广东省查处生产假冒伪劣商品违法行为条例》第五十五条第一款</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没收违法所得，罚款</w:t>
            </w:r>
          </w:p>
        </w:tc>
        <w:tc>
          <w:tcPr>
            <w:tcW w:w="1379" w:type="dxa"/>
            <w:shd w:val="clear" w:color="auto" w:fill="auto"/>
            <w:vAlign w:val="center"/>
          </w:tcPr>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自</w:t>
            </w:r>
            <w:r>
              <w:rPr>
                <w:rFonts w:hint="eastAsia" w:ascii="仿宋_GB2312" w:eastAsia="仿宋_GB2312"/>
                <w:color w:val="000000"/>
                <w:sz w:val="28"/>
                <w:szCs w:val="28"/>
              </w:rPr>
              <w:t>动履行</w:t>
            </w:r>
          </w:p>
          <w:p>
            <w:pPr>
              <w:spacing w:line="44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2017年11月22日</w:t>
            </w:r>
          </w:p>
        </w:tc>
        <w:tc>
          <w:tcPr>
            <w:tcW w:w="1349" w:type="dxa"/>
            <w:shd w:val="clear" w:color="auto" w:fill="auto"/>
            <w:vAlign w:val="center"/>
          </w:tcPr>
          <w:p>
            <w:pPr>
              <w:spacing w:line="440" w:lineRule="exact"/>
              <w:rPr>
                <w:rFonts w:ascii="仿宋_GB2312" w:eastAsia="仿宋_GB2312"/>
                <w:color w:val="000000"/>
                <w:sz w:val="28"/>
                <w:szCs w:val="28"/>
              </w:rPr>
            </w:pPr>
            <w:r>
              <w:rPr>
                <w:rFonts w:hint="eastAsia" w:ascii="仿宋_GB2312" w:eastAsia="仿宋_GB2312"/>
                <w:color w:val="000000"/>
                <w:sz w:val="28"/>
                <w:szCs w:val="28"/>
                <w:lang w:eastAsia="zh-CN"/>
              </w:rPr>
              <w:t>阳春市食品药品监督管理局</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2017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655" w:type="dxa"/>
            <w:shd w:val="clear" w:color="auto" w:fill="auto"/>
            <w:vAlign w:val="center"/>
          </w:tcPr>
          <w:p>
            <w:pPr>
              <w:spacing w:line="440" w:lineRule="exact"/>
              <w:rPr>
                <w:rFonts w:hint="eastAsia" w:eastAsia="宋体"/>
                <w:color w:val="000000"/>
                <w:sz w:val="28"/>
                <w:szCs w:val="28"/>
                <w:lang w:eastAsia="zh-CN"/>
              </w:rPr>
            </w:pPr>
            <w:r>
              <w:rPr>
                <w:rFonts w:hint="eastAsia"/>
                <w:color w:val="000000"/>
                <w:sz w:val="28"/>
                <w:szCs w:val="28"/>
                <w:lang w:val="en-US" w:eastAsia="zh-CN"/>
              </w:rPr>
              <w:t>2</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eastAsia="zh-CN"/>
              </w:rPr>
            </w:pPr>
            <w:r>
              <w:rPr>
                <w:rFonts w:hint="eastAsia" w:ascii="宋体" w:hAnsi="宋体" w:eastAsia="宋体" w:cs="宋体"/>
                <w:i w:val="0"/>
                <w:color w:val="000000"/>
                <w:kern w:val="0"/>
                <w:sz w:val="24"/>
                <w:szCs w:val="24"/>
                <w:u w:val="none"/>
                <w:lang w:val="en-US" w:eastAsia="zh-CN" w:bidi="ar"/>
              </w:rPr>
              <w:t>（阳春）食药监通罚[2017]007号</w:t>
            </w:r>
          </w:p>
        </w:tc>
        <w:tc>
          <w:tcPr>
            <w:tcW w:w="1508"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阳春市信德药业网上刊载的食品成分与食品标签不一致案</w:t>
            </w:r>
          </w:p>
        </w:tc>
        <w:tc>
          <w:tcPr>
            <w:tcW w:w="1318" w:type="dxa"/>
            <w:shd w:val="clear" w:color="auto" w:fill="auto"/>
            <w:vAlign w:val="center"/>
          </w:tcPr>
          <w:p>
            <w:pPr>
              <w:spacing w:line="440" w:lineRule="exact"/>
              <w:rPr>
                <w:rFonts w:hint="eastAsia"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阳春市信德药业</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spacing w:line="440" w:lineRule="exact"/>
              <w:rPr>
                <w:rFonts w:hint="eastAsia" w:ascii="仿宋_GB2312" w:eastAsia="仿宋_GB2312"/>
                <w:color w:val="000000"/>
                <w:sz w:val="28"/>
                <w:szCs w:val="28"/>
              </w:rPr>
            </w:pPr>
            <w:r>
              <w:rPr>
                <w:rFonts w:hint="eastAsia" w:ascii="宋体" w:hAnsi="宋体" w:cs="宋体"/>
                <w:i w:val="0"/>
                <w:color w:val="000000"/>
                <w:kern w:val="0"/>
                <w:sz w:val="24"/>
                <w:szCs w:val="24"/>
                <w:u w:val="none"/>
                <w:lang w:val="en-US" w:eastAsia="zh-CN" w:bidi="ar"/>
              </w:rPr>
              <w:t>当事人</w:t>
            </w:r>
            <w:r>
              <w:rPr>
                <w:rFonts w:hint="eastAsia" w:ascii="宋体" w:hAnsi="宋体" w:eastAsia="宋体" w:cs="宋体"/>
                <w:i w:val="0"/>
                <w:color w:val="000000"/>
                <w:kern w:val="0"/>
                <w:sz w:val="24"/>
                <w:szCs w:val="24"/>
                <w:u w:val="none"/>
                <w:lang w:val="en-US" w:eastAsia="zh-CN" w:bidi="ar"/>
              </w:rPr>
              <w:t>网上刊载的食品成分与食品标签不一致</w:t>
            </w:r>
          </w:p>
        </w:tc>
        <w:tc>
          <w:tcPr>
            <w:tcW w:w="1932"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《网络食品安全违法行为查处办法》第三十九条</w:t>
            </w:r>
          </w:p>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警告；责令整改</w:t>
            </w:r>
          </w:p>
        </w:tc>
        <w:tc>
          <w:tcPr>
            <w:tcW w:w="137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自动履行</w:t>
            </w:r>
          </w:p>
        </w:tc>
        <w:tc>
          <w:tcPr>
            <w:tcW w:w="134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阳春市食品药品监督管理局</w:t>
            </w:r>
          </w:p>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w:t>
            </w:r>
            <w:r>
              <w:rPr>
                <w:rFonts w:hint="eastAsia" w:ascii="宋体" w:hAnsi="宋体" w:cs="宋体"/>
                <w:i w:val="0"/>
                <w:color w:val="000000"/>
                <w:kern w:val="0"/>
                <w:sz w:val="24"/>
                <w:szCs w:val="24"/>
                <w:u w:val="none"/>
                <w:lang w:val="en-US" w:eastAsia="zh-CN" w:bidi="ar"/>
              </w:rPr>
              <w:t>06</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12</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3</w:t>
            </w:r>
          </w:p>
        </w:tc>
        <w:tc>
          <w:tcPr>
            <w:tcW w:w="12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（阳春）食药监通罚[2017]002号</w:t>
            </w:r>
          </w:p>
        </w:tc>
        <w:tc>
          <w:tcPr>
            <w:tcW w:w="15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阳春市乐源食品商行销售未按规定进行检验的肉类案</w:t>
            </w:r>
          </w:p>
        </w:tc>
        <w:tc>
          <w:tcPr>
            <w:tcW w:w="1318"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阳春市乐源食品商行</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spacing w:line="440" w:lineRule="exact"/>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当事人</w:t>
            </w:r>
            <w:r>
              <w:rPr>
                <w:rFonts w:hint="eastAsia" w:ascii="宋体" w:hAnsi="宋体" w:eastAsia="宋体" w:cs="宋体"/>
                <w:i w:val="0"/>
                <w:color w:val="000000"/>
                <w:kern w:val="0"/>
                <w:sz w:val="24"/>
                <w:szCs w:val="24"/>
                <w:u w:val="none"/>
                <w:lang w:val="en-US" w:eastAsia="zh-CN" w:bidi="ar"/>
              </w:rPr>
              <w:t>销售未按规定进行检验的肉类</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食用农产品市场销售质量安全监督管理办法</w:t>
            </w:r>
            <w:r>
              <w:rPr>
                <w:rFonts w:hint="eastAsia" w:ascii="宋体" w:hAnsi="宋体" w:eastAsia="宋体" w:cs="宋体"/>
                <w:i w:val="0"/>
                <w:color w:val="000000"/>
                <w:kern w:val="0"/>
                <w:sz w:val="24"/>
                <w:szCs w:val="24"/>
                <w:u w:val="none"/>
                <w:lang w:val="en-US" w:eastAsia="zh-CN" w:bidi="ar"/>
              </w:rPr>
              <w:t>》第</w:t>
            </w:r>
            <w:r>
              <w:rPr>
                <w:rFonts w:hint="eastAsia" w:ascii="宋体" w:hAnsi="宋体" w:cs="宋体"/>
                <w:i w:val="0"/>
                <w:color w:val="000000"/>
                <w:kern w:val="0"/>
                <w:sz w:val="24"/>
                <w:szCs w:val="24"/>
                <w:u w:val="none"/>
                <w:lang w:val="en-US" w:eastAsia="zh-CN" w:bidi="ar"/>
              </w:rPr>
              <w:t>二十五条第七项</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bookmarkStart w:id="0" w:name="_GoBack"/>
            <w:bookmarkEnd w:id="0"/>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责令改正；没收违法经营的肉类；罚款16000元</w:t>
            </w:r>
          </w:p>
        </w:tc>
        <w:tc>
          <w:tcPr>
            <w:tcW w:w="137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自动履行</w:t>
            </w:r>
          </w:p>
        </w:tc>
        <w:tc>
          <w:tcPr>
            <w:tcW w:w="134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阳春市食品药品监督管理局</w:t>
            </w:r>
          </w:p>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13</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4</w:t>
            </w:r>
          </w:p>
        </w:tc>
        <w:tc>
          <w:tcPr>
            <w:tcW w:w="12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（阳春）食药监产罚[2017]002号</w:t>
            </w:r>
          </w:p>
        </w:tc>
        <w:tc>
          <w:tcPr>
            <w:tcW w:w="15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广东省阳春市信德生物科技发展有限公司生产不符合食品安全标准食品案</w:t>
            </w:r>
          </w:p>
        </w:tc>
        <w:tc>
          <w:tcPr>
            <w:tcW w:w="1318"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广东省阳春市信德生物科技发展有限公司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spacing w:line="440" w:lineRule="exact"/>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生产不符合食品安全标准食品</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《中华人民共和国食品安全法》第一百二十四条第一款第三项和《中华人民共和国食品安全法》第一百二十五条第一款第二项</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没收违法所得，罚款</w:t>
            </w:r>
          </w:p>
        </w:tc>
        <w:tc>
          <w:tcPr>
            <w:tcW w:w="137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自动履行</w:t>
            </w:r>
          </w:p>
        </w:tc>
        <w:tc>
          <w:tcPr>
            <w:tcW w:w="1349" w:type="dxa"/>
            <w:shd w:val="clear" w:color="auto" w:fill="auto"/>
            <w:vAlign w:val="center"/>
          </w:tcPr>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阳春市食品药品监督管理局</w:t>
            </w:r>
          </w:p>
          <w:p>
            <w:pPr>
              <w:spacing w:line="440" w:lineRule="exac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6</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2E021377"/>
    <w:rsid w:val="3B4C6936"/>
    <w:rsid w:val="3F36542D"/>
    <w:rsid w:val="48661DBB"/>
    <w:rsid w:val="59F7010B"/>
    <w:rsid w:val="751E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FF3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ScaleCrop>false</ScaleCrop>
  <LinksUpToDate>false</LinksUpToDate>
  <CharactersWithSpaces>271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jasmine</cp:lastModifiedBy>
  <dcterms:modified xsi:type="dcterms:W3CDTF">2017-12-04T07:58:46Z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