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</w:t>
      </w:r>
      <w:r>
        <w:rPr>
          <w:rFonts w:hint="eastAsia"/>
          <w:b/>
          <w:bCs/>
          <w:sz w:val="32"/>
          <w:szCs w:val="32"/>
          <w:lang w:eastAsia="zh-CN"/>
        </w:rPr>
        <w:t>年部门预算情况说明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eastAsia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88.33万元，比上年增加12.46万元，增长17%，主要原因是人员工资增加跟机关事业养老保险缴费增加；支出预算78.33万元，比上年增加12.46万元，增长17%，主要原因是人员工资增加跟机关事业养老保险缴费增加。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2018年部门“三公”经费预算安排6.6万元，比上年增加1万元，增长15%，主要原因是预算安排多了一万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。其中：因公出国（境）费0万元，比上年增加/减少0万元，增长/下降0%，主要原因是没有；公务用车购置及运行费0万元，比上年增加/减少0万元，增长/下降0%，主要原因是没有；公务接待费6000元，比上年减少4000元，下降66.6%，主要原因是大型业务接待任务减少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，本部门机关运行经费安排20.20万元，比上年增加3.4万元，增长20%，主要原因是培训费、劳务费、其他交通费用有增加。其中：办公费5万，印刷费1万，邮电费1.6万，差旅费2万，会议费无，福利费无，日常维修费无，专用材料及一般设备购置费无，办公用房水电费无，办公用房取暖费无，办公用房物业管理费无，公务用车运行维护费3万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1024" w:firstLineChars="366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本部门占有使用车辆情况，共有车辆1辆，一般公务用车1辆。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本部门没有专项支出，没有预算绩效信息公开情况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13021433"/>
    <w:rsid w:val="141609F8"/>
    <w:rsid w:val="2B420D63"/>
    <w:rsid w:val="442540E8"/>
    <w:rsid w:val="793C4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晓</cp:lastModifiedBy>
  <dcterms:modified xsi:type="dcterms:W3CDTF">2018-03-01T09:00:29Z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