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/>
          <w:b/>
          <w:bCs/>
          <w:sz w:val="32"/>
          <w:szCs w:val="32"/>
          <w:lang w:val="en-US" w:eastAsia="zh-CN"/>
        </w:rPr>
        <w:t>2018</w:t>
      </w:r>
      <w:r>
        <w:rPr>
          <w:rFonts w:hint="eastAsia"/>
          <w:b/>
          <w:bCs/>
          <w:sz w:val="32"/>
          <w:szCs w:val="32"/>
          <w:lang w:eastAsia="zh-CN"/>
        </w:rPr>
        <w:t>年部门预算情况说明</w:t>
      </w:r>
    </w:p>
    <w:p>
      <w:pPr>
        <w:jc w:val="center"/>
        <w:rPr>
          <w:rFonts w:hint="eastAsia"/>
          <w:b/>
          <w:bCs/>
          <w:sz w:val="32"/>
          <w:szCs w:val="32"/>
          <w:lang w:eastAsia="zh-CN"/>
        </w:rPr>
      </w:pPr>
    </w:p>
    <w:p>
      <w:pPr>
        <w:ind w:firstLine="560"/>
        <w:jc w:val="both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一、部门预算收支增减变化情况</w:t>
      </w:r>
    </w:p>
    <w:p>
      <w:pPr>
        <w:ind w:firstLine="560"/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2018</w:t>
      </w:r>
      <w:r>
        <w:rPr>
          <w:rFonts w:hint="eastAsia"/>
          <w:b w:val="0"/>
          <w:bCs w:val="0"/>
          <w:sz w:val="28"/>
          <w:szCs w:val="28"/>
          <w:lang w:eastAsia="zh-CN"/>
        </w:rPr>
        <w:t>年本部门收入预算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631.61万元，比上年减少162.40万元，下降20.45%，主要原因是2017年项目预算较多，2018年项目预算减少；支出预算631.61万元，比上年减少162.40万元，下降20.45%，主要原因是2017年项目预算支出较多，2018年项目预算支出减少。</w:t>
      </w:r>
    </w:p>
    <w:p>
      <w:pPr>
        <w:numPr>
          <w:ilvl w:val="0"/>
          <w:numId w:val="1"/>
        </w:numPr>
        <w:ind w:firstLine="560"/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“三公”经费安排情况说明</w:t>
      </w:r>
    </w:p>
    <w:p>
      <w:pPr>
        <w:numPr>
          <w:ilvl w:val="0"/>
          <w:numId w:val="0"/>
        </w:numPr>
        <w:ind w:firstLine="567"/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2018年部门“三公”经费预算安排22万元，比上年减少8万元，下降26.70%，主要原因是2018年公务用运行维护费定额标准比2017年下降了。其中：因公出国（境）费0万元，与上年保持不变；公务用车购置及运行费12万元，比上年减少12万元，下降50%，主要原因是2018年公务用运行维护费定额标准比2017年下降了；公务接待费10万元，比上年增加4万元，增长66.70%，主要原因是工作任务多，接待任务增加。</w:t>
      </w:r>
    </w:p>
    <w:p>
      <w:pPr>
        <w:numPr>
          <w:ilvl w:val="0"/>
          <w:numId w:val="1"/>
        </w:numPr>
        <w:ind w:firstLine="567" w:firstLineChars="0"/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机关运行经费安排情况</w:t>
      </w:r>
    </w:p>
    <w:p>
      <w:pPr>
        <w:numPr>
          <w:ilvl w:val="0"/>
          <w:numId w:val="0"/>
        </w:numPr>
        <w:ind w:firstLine="565"/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2018年，本部门机关运行经费安排154.74万元，比上年增加23.96万元，增长18.32%，主要原因是2018年非税收入纳入预算经费安排。其中：办公费52万元，印刷费5万元，邮电费8万元，差旅费15万元，会议费1万元，福利费0万元，日常维修费5.80万元，专用材料及一般设备购置费0万元，办公用房水电费8.50万元，办公用房取暖费0万元，办公用房物业管理费0万元，公务用车运行维护费12万元等。</w:t>
      </w:r>
    </w:p>
    <w:p>
      <w:pPr>
        <w:numPr>
          <w:ilvl w:val="0"/>
          <w:numId w:val="1"/>
        </w:numPr>
        <w:ind w:firstLine="565" w:firstLineChars="0"/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政府采购情况</w:t>
      </w:r>
    </w:p>
    <w:p>
      <w:pPr>
        <w:numPr>
          <w:ilvl w:val="0"/>
          <w:numId w:val="0"/>
        </w:numPr>
        <w:ind w:firstLine="560"/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2018年本部门政府采购安排0万元，其中：货物类采购预算0万元，工程类采购预算0万元，服务类采购预算0万元等。</w:t>
      </w:r>
    </w:p>
    <w:p>
      <w:pPr>
        <w:numPr>
          <w:ilvl w:val="0"/>
          <w:numId w:val="1"/>
        </w:numPr>
        <w:ind w:firstLine="560" w:firstLineChars="0"/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国有资产占有使用情况</w:t>
      </w:r>
    </w:p>
    <w:p>
      <w:pPr>
        <w:numPr>
          <w:ilvl w:val="0"/>
          <w:numId w:val="0"/>
        </w:numPr>
        <w:ind w:firstLine="560"/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截至2017年12月31日，本部门占有使用国有资产总体情况为：固定资产总数257台（件），其中：使用车辆情况，共有车辆4辆，其中：一般执法执勤用车2辆，一般公务用车1辆，特种专业技术用车1辆。分布构成情况为：车辆4辆，通用设备131台，专用设备81台，家具用具及其他类固定资产41件。主要实物资产数据情况为：车辆4辆，原值79.48万元；通用设备131台，原值61.87万元；专用设备81台，原值541.93万元；家具用具及其他类固定资产41件，原值11.11万元，固定资产总原值694.39万元。资产变动情况为：2017年通用设备增加40台，价值24.21万元；专用设备增加4台，价值15.65万元；家具用具及其他类固定资产增加19件，价值3.93万元。</w:t>
      </w:r>
    </w:p>
    <w:p>
      <w:pPr>
        <w:numPr>
          <w:ilvl w:val="0"/>
          <w:numId w:val="1"/>
        </w:numPr>
        <w:ind w:firstLine="560" w:firstLineChars="0"/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预算绩效信息公开情况</w:t>
      </w:r>
    </w:p>
    <w:p>
      <w:pPr>
        <w:numPr>
          <w:ilvl w:val="0"/>
          <w:numId w:val="0"/>
        </w:numPr>
        <w:ind w:firstLine="560"/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2018年，本部门没有专项支出，没有预算绩效信息公开情况。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both"/>
        <w:textAlignment w:val="auto"/>
        <w:outlineLvl w:val="9"/>
        <w:rPr>
          <w:rFonts w:hint="eastAsia" w:eastAsiaTheme="minorEastAsia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10" w:usb3="00000000" w:csb0="000400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40000" w:csb1="00000000"/>
  </w:font>
  <w:font w:name="@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@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华文中宋">
    <w:altName w:val="宋体"/>
    <w:panose1 w:val="00000000000000000000"/>
    <w:charset w:val="00"/>
    <w:family w:val="auto"/>
    <w:pitch w:val="default"/>
    <w:sig w:usb0="00000000" w:usb1="00000000" w:usb2="00000010" w:usb3="00000000" w:csb0="0004009F" w:csb1="00000000"/>
  </w:font>
  <w:font w:name="@楷体_GB2312">
    <w:altName w:val="宋体"/>
    <w:panose1 w:val="00000000000000000000"/>
    <w:charset w:val="00"/>
    <w:family w:val="auto"/>
    <w:pitch w:val="default"/>
    <w:sig w:usb0="00000000" w:usb1="00000000" w:usb2="00000000" w:usb3="00000000" w:csb0="00040000" w:csb1="00000000"/>
  </w:font>
  <w:font w:name="@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9362CD"/>
    <w:multiLevelType w:val="singleLevel"/>
    <w:tmpl w:val="5A9362CD"/>
    <w:lvl w:ilvl="0" w:tentative="0">
      <w:start w:val="2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420D63"/>
    <w:rsid w:val="0A773FD7"/>
    <w:rsid w:val="16062961"/>
    <w:rsid w:val="21503500"/>
    <w:rsid w:val="26377C29"/>
    <w:rsid w:val="270E09C3"/>
    <w:rsid w:val="28591DBE"/>
    <w:rsid w:val="2B420D63"/>
    <w:rsid w:val="2CC376AB"/>
    <w:rsid w:val="312C11FF"/>
    <w:rsid w:val="325C2C7A"/>
    <w:rsid w:val="33027B00"/>
    <w:rsid w:val="37525F9C"/>
    <w:rsid w:val="37BA46C7"/>
    <w:rsid w:val="3BB9224D"/>
    <w:rsid w:val="3D967278"/>
    <w:rsid w:val="40E853CE"/>
    <w:rsid w:val="4B291949"/>
    <w:rsid w:val="4E9F1306"/>
    <w:rsid w:val="59CF0BB0"/>
    <w:rsid w:val="70392AAE"/>
    <w:rsid w:val="7ABE0B3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2018-02-26T01:17:00Z</dcterms:created>
  <dc:creator>rui</dc:creator>
  <cp:lastModifiedBy>Administrator</cp:lastModifiedBy>
  <dcterms:modified xsi:type="dcterms:W3CDTF">2018-02-27T08:10:31Z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