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lang w:val="en-US" w:eastAsia="zh-CN"/>
        </w:rPr>
        <w:t>2018</w:t>
      </w:r>
      <w:r>
        <w:rPr>
          <w:rFonts w:hint="eastAsia"/>
          <w:b/>
          <w:bCs/>
          <w:sz w:val="32"/>
          <w:szCs w:val="32"/>
          <w:lang w:eastAsia="zh-CN"/>
        </w:rPr>
        <w:t>年部门预算情况说明</w:t>
      </w:r>
    </w:p>
    <w:p>
      <w:pPr>
        <w:ind w:firstLine="560"/>
        <w:jc w:val="both"/>
        <w:rPr>
          <w:rFonts w:hint="eastAsia"/>
          <w:b/>
          <w:bCs/>
          <w:sz w:val="28"/>
          <w:szCs w:val="28"/>
          <w:lang w:eastAsia="zh-CN"/>
        </w:rPr>
      </w:pPr>
      <w:r>
        <w:rPr>
          <w:rFonts w:hint="eastAsia"/>
          <w:b/>
          <w:bCs/>
          <w:sz w:val="28"/>
          <w:szCs w:val="28"/>
          <w:lang w:eastAsia="zh-CN"/>
        </w:rPr>
        <w:t>一、部门预算收支增减变化情况</w:t>
      </w:r>
    </w:p>
    <w:p>
      <w:pPr>
        <w:ind w:firstLine="560"/>
        <w:jc w:val="both"/>
        <w:rPr>
          <w:rFonts w:hint="eastAsia"/>
          <w:b w:val="0"/>
          <w:bCs w:val="0"/>
          <w:sz w:val="28"/>
          <w:szCs w:val="28"/>
          <w:lang w:val="en-US" w:eastAsia="zh-CN"/>
        </w:rPr>
      </w:pPr>
      <w:r>
        <w:rPr>
          <w:rFonts w:hint="eastAsia"/>
          <w:b w:val="0"/>
          <w:bCs w:val="0"/>
          <w:sz w:val="28"/>
          <w:szCs w:val="28"/>
          <w:lang w:val="en-US" w:eastAsia="zh-CN"/>
        </w:rPr>
        <w:t>2018</w:t>
      </w:r>
      <w:r>
        <w:rPr>
          <w:rFonts w:hint="eastAsia"/>
          <w:b w:val="0"/>
          <w:bCs w:val="0"/>
          <w:sz w:val="28"/>
          <w:szCs w:val="28"/>
          <w:lang w:eastAsia="zh-CN"/>
        </w:rPr>
        <w:t>年本部门收入预算</w:t>
      </w:r>
      <w:r>
        <w:rPr>
          <w:rFonts w:hint="eastAsia"/>
          <w:b w:val="0"/>
          <w:bCs w:val="0"/>
          <w:sz w:val="28"/>
          <w:szCs w:val="28"/>
          <w:lang w:val="en-US" w:eastAsia="zh-CN"/>
        </w:rPr>
        <w:t>1145.31万元，比上年增加196.75万元，增长20.7%，主要原因是工资增长；支出预算1145.31万元，比上年增加196.75万元，增长20.7%，主要原因是工资增长。</w:t>
      </w:r>
    </w:p>
    <w:p>
      <w:pPr>
        <w:numPr>
          <w:ilvl w:val="0"/>
          <w:numId w:val="1"/>
        </w:numPr>
        <w:ind w:firstLine="560"/>
        <w:jc w:val="both"/>
        <w:rPr>
          <w:rFonts w:hint="eastAsia"/>
          <w:b/>
          <w:bCs/>
          <w:sz w:val="28"/>
          <w:szCs w:val="28"/>
          <w:lang w:val="en-US" w:eastAsia="zh-CN"/>
        </w:rPr>
      </w:pPr>
      <w:r>
        <w:rPr>
          <w:rFonts w:hint="eastAsia"/>
          <w:b/>
          <w:bCs/>
          <w:sz w:val="28"/>
          <w:szCs w:val="28"/>
          <w:lang w:val="en-US" w:eastAsia="zh-CN"/>
        </w:rPr>
        <w:t>“三公”经费安排情况说明</w:t>
      </w:r>
    </w:p>
    <w:p>
      <w:pPr>
        <w:numPr>
          <w:ilvl w:val="0"/>
          <w:numId w:val="0"/>
        </w:numPr>
        <w:ind w:firstLine="567"/>
        <w:jc w:val="both"/>
        <w:rPr>
          <w:rFonts w:hint="eastAsia"/>
          <w:b w:val="0"/>
          <w:bCs w:val="0"/>
          <w:sz w:val="28"/>
          <w:szCs w:val="28"/>
          <w:lang w:val="en-US" w:eastAsia="zh-CN"/>
        </w:rPr>
      </w:pPr>
      <w:r>
        <w:rPr>
          <w:rFonts w:hint="eastAsia"/>
          <w:b w:val="0"/>
          <w:bCs w:val="0"/>
          <w:sz w:val="28"/>
          <w:szCs w:val="28"/>
          <w:lang w:val="en-US" w:eastAsia="zh-CN"/>
        </w:rPr>
        <w:t>2018年部门“三公”经费预算安排22万元，与上年保持不变。其中：因公出国（境）费0万元，与上年保持不变；公务用车购置及运行费12万元，比上年增与上年保持不变；公务接待费10万元，与上年保持不变。</w:t>
      </w:r>
    </w:p>
    <w:p>
      <w:pPr>
        <w:numPr>
          <w:ilvl w:val="0"/>
          <w:numId w:val="1"/>
        </w:numPr>
        <w:ind w:firstLine="567" w:firstLineChars="0"/>
        <w:jc w:val="both"/>
        <w:rPr>
          <w:rFonts w:hint="eastAsia"/>
          <w:b w:val="0"/>
          <w:bCs w:val="0"/>
          <w:sz w:val="28"/>
          <w:szCs w:val="28"/>
          <w:lang w:val="en-US" w:eastAsia="zh-CN"/>
        </w:rPr>
      </w:pPr>
      <w:r>
        <w:rPr>
          <w:rFonts w:hint="eastAsia"/>
          <w:b/>
          <w:bCs/>
          <w:sz w:val="28"/>
          <w:szCs w:val="28"/>
          <w:lang w:val="en-US" w:eastAsia="zh-CN"/>
        </w:rPr>
        <w:t>机关运行经费安排情况</w:t>
      </w:r>
    </w:p>
    <w:p>
      <w:pPr>
        <w:numPr>
          <w:ilvl w:val="0"/>
          <w:numId w:val="0"/>
        </w:numPr>
        <w:ind w:firstLine="565"/>
        <w:jc w:val="both"/>
        <w:rPr>
          <w:rFonts w:hint="eastAsia"/>
          <w:b w:val="0"/>
          <w:bCs w:val="0"/>
          <w:sz w:val="28"/>
          <w:szCs w:val="28"/>
          <w:lang w:val="en-US" w:eastAsia="zh-CN"/>
        </w:rPr>
      </w:pPr>
      <w:r>
        <w:rPr>
          <w:rFonts w:hint="eastAsia"/>
          <w:b w:val="0"/>
          <w:bCs w:val="0"/>
          <w:sz w:val="28"/>
          <w:szCs w:val="28"/>
          <w:lang w:val="en-US" w:eastAsia="zh-CN"/>
        </w:rPr>
        <w:t>2018年，本部门机关运行经费安排152.81万元，比上年增加34.83万元，增长29.5%，主要原因是上级文件落实。其中：办公费16万元，印刷费17.26万元，手续费0.82万元，邮电费9万元，差旅费3万元，培训费0.6万元，业务接待费10万元，会议费16.88，福利费**，日常维修费10万元，专用材料及一般设备购置费**，办公用房水电费14.9万元，办公用房取暖费**，办公用房物业管理费**，公务用车运行维护费12万元，其他交通费用31.8万元其他支出10.55万元等。</w:t>
      </w:r>
    </w:p>
    <w:p>
      <w:pPr>
        <w:numPr>
          <w:ilvl w:val="0"/>
          <w:numId w:val="1"/>
        </w:numPr>
        <w:ind w:firstLine="565" w:firstLineChars="0"/>
        <w:jc w:val="both"/>
        <w:rPr>
          <w:rFonts w:hint="eastAsia"/>
          <w:b/>
          <w:bCs/>
          <w:sz w:val="28"/>
          <w:szCs w:val="28"/>
          <w:lang w:val="en-US" w:eastAsia="zh-CN"/>
        </w:rPr>
      </w:pPr>
      <w:r>
        <w:rPr>
          <w:rFonts w:hint="eastAsia"/>
          <w:b/>
          <w:bCs/>
          <w:sz w:val="28"/>
          <w:szCs w:val="28"/>
          <w:lang w:val="en-US" w:eastAsia="zh-CN"/>
        </w:rPr>
        <w:t>政府采购情况</w:t>
      </w:r>
    </w:p>
    <w:p>
      <w:pPr>
        <w:numPr>
          <w:ilvl w:val="0"/>
          <w:numId w:val="0"/>
        </w:numPr>
        <w:ind w:firstLine="560"/>
        <w:jc w:val="both"/>
        <w:rPr>
          <w:rFonts w:hint="eastAsia"/>
          <w:b w:val="0"/>
          <w:bCs w:val="0"/>
          <w:sz w:val="28"/>
          <w:szCs w:val="28"/>
          <w:lang w:val="en-US" w:eastAsia="zh-CN"/>
        </w:rPr>
      </w:pPr>
      <w:r>
        <w:rPr>
          <w:rFonts w:hint="eastAsia"/>
          <w:b w:val="0"/>
          <w:bCs w:val="0"/>
          <w:sz w:val="28"/>
          <w:szCs w:val="28"/>
          <w:lang w:val="en-US" w:eastAsia="zh-CN"/>
        </w:rPr>
        <w:t>2018年本部门政府采购安排0万元，其中：货物类采购预算0万元，工程类采购预算0万元，服务类采购预算0万元等。</w:t>
      </w:r>
    </w:p>
    <w:p>
      <w:pPr>
        <w:numPr>
          <w:ilvl w:val="0"/>
          <w:numId w:val="1"/>
        </w:numPr>
        <w:ind w:firstLine="560" w:firstLineChars="0"/>
        <w:jc w:val="both"/>
        <w:rPr>
          <w:rFonts w:hint="eastAsia"/>
          <w:b/>
          <w:bCs/>
          <w:sz w:val="28"/>
          <w:szCs w:val="28"/>
          <w:lang w:val="en-US" w:eastAsia="zh-CN"/>
        </w:rPr>
      </w:pPr>
      <w:r>
        <w:rPr>
          <w:rFonts w:hint="eastAsia"/>
          <w:b/>
          <w:bCs/>
          <w:sz w:val="28"/>
          <w:szCs w:val="28"/>
          <w:lang w:val="en-US" w:eastAsia="zh-CN"/>
        </w:rPr>
        <w:t>国有资产占有使用情况</w:t>
      </w:r>
    </w:p>
    <w:p>
      <w:pPr>
        <w:numPr>
          <w:ilvl w:val="0"/>
          <w:numId w:val="0"/>
        </w:numPr>
        <w:ind w:firstLine="560"/>
        <w:jc w:val="both"/>
        <w:rPr>
          <w:rFonts w:hint="eastAsia"/>
          <w:b w:val="0"/>
          <w:bCs w:val="0"/>
          <w:sz w:val="28"/>
          <w:szCs w:val="28"/>
          <w:lang w:val="en-US" w:eastAsia="zh-CN"/>
        </w:rPr>
      </w:pPr>
      <w:r>
        <w:rPr>
          <w:rFonts w:hint="eastAsia"/>
          <w:b w:val="0"/>
          <w:bCs w:val="0"/>
          <w:sz w:val="28"/>
          <w:szCs w:val="28"/>
          <w:lang w:val="en-US" w:eastAsia="zh-CN"/>
        </w:rPr>
        <w:t>截至2017年12月31日，本部门占有使用国有资产总体情况为：资产总计7178527.39元，分布构成情况为：土地、房屋及建筑物3982745.52元，通用设备2986992.87元，专用设备550元，家具、用具208239.00元.资产变动情况为：2017年增加101896元。</w:t>
      </w:r>
    </w:p>
    <w:p>
      <w:pPr>
        <w:numPr>
          <w:ilvl w:val="0"/>
          <w:numId w:val="0"/>
        </w:numPr>
        <w:ind w:firstLine="560"/>
        <w:jc w:val="both"/>
        <w:rPr>
          <w:rFonts w:hint="eastAsia"/>
          <w:b w:val="0"/>
          <w:bCs w:val="0"/>
          <w:sz w:val="28"/>
          <w:szCs w:val="28"/>
          <w:lang w:val="en-US" w:eastAsia="zh-CN"/>
        </w:rPr>
      </w:pPr>
    </w:p>
    <w:p>
      <w:pPr>
        <w:numPr>
          <w:ilvl w:val="0"/>
          <w:numId w:val="1"/>
        </w:numPr>
        <w:ind w:firstLine="560" w:firstLineChars="0"/>
        <w:jc w:val="both"/>
        <w:rPr>
          <w:rFonts w:hint="eastAsia"/>
          <w:b/>
          <w:bCs/>
          <w:sz w:val="28"/>
          <w:szCs w:val="28"/>
          <w:lang w:val="en-US" w:eastAsia="zh-CN"/>
        </w:rPr>
      </w:pPr>
      <w:r>
        <w:rPr>
          <w:rFonts w:hint="eastAsia"/>
          <w:b/>
          <w:bCs/>
          <w:sz w:val="28"/>
          <w:szCs w:val="28"/>
          <w:lang w:val="en-US" w:eastAsia="zh-CN"/>
        </w:rPr>
        <w:t>预算绩效信息公开情况</w:t>
      </w:r>
    </w:p>
    <w:p>
      <w:pPr>
        <w:numPr>
          <w:ilvl w:val="0"/>
          <w:numId w:val="0"/>
        </w:numPr>
        <w:ind w:firstLine="560"/>
        <w:jc w:val="both"/>
        <w:rPr>
          <w:rFonts w:hint="eastAsia"/>
          <w:b w:val="0"/>
          <w:bCs w:val="0"/>
          <w:sz w:val="28"/>
          <w:szCs w:val="28"/>
          <w:lang w:val="en-US" w:eastAsia="zh-CN"/>
        </w:rPr>
      </w:pPr>
      <w:r>
        <w:rPr>
          <w:rFonts w:hint="eastAsia"/>
          <w:b w:val="0"/>
          <w:bCs w:val="0"/>
          <w:sz w:val="28"/>
          <w:szCs w:val="28"/>
          <w:lang w:val="en-US" w:eastAsia="zh-CN"/>
        </w:rPr>
        <w:t>2018年，本部门在市委、市府和上级司法部门的正确领导下，司法局在普法宣传，法律援助，人民调解、社区矫正、一村（社区）一法律顾问工作、以案定补等工作中将达到预期工作目标。为我市的普法宣传、法律常识普及，针对困难家庭和个人的法律援助开展使他们的合法权益得到了极大的保障，对群众矛盾纠纷的调解从源头上消灭了社会不稳定因素，对社区服刑人员的监管和安置帮教使他们重返社会减少重犯率，一村（社区）一法律顾问工作的开展，对广大群众提供了法律服务，以案定补调动了村镇调委会工作人员的工作积极性，从而大减少了信访和社会矛盾的产生。这些工作都在有序开展中。</w:t>
      </w:r>
    </w:p>
    <w:p>
      <w:pPr>
        <w:numPr>
          <w:ilvl w:val="0"/>
          <w:numId w:val="0"/>
        </w:numPr>
        <w:ind w:firstLine="560"/>
        <w:jc w:val="both"/>
        <w:rPr>
          <w:rFonts w:hint="eastAsia"/>
          <w:b w:val="0"/>
          <w:bCs w:val="0"/>
          <w:sz w:val="28"/>
          <w:szCs w:val="28"/>
          <w:lang w:val="en-US" w:eastAsia="zh-CN"/>
        </w:rPr>
      </w:pPr>
      <w:bookmarkStart w:id="0" w:name="_GoBack"/>
      <w:bookmarkEnd w:id="0"/>
    </w:p>
    <w:p>
      <w:pPr>
        <w:numPr>
          <w:ilvl w:val="0"/>
          <w:numId w:val="0"/>
        </w:numPr>
        <w:ind w:firstLine="5773" w:firstLineChars="2062"/>
        <w:jc w:val="both"/>
        <w:rPr>
          <w:rFonts w:hint="eastAsia"/>
          <w:b w:val="0"/>
          <w:bCs w:val="0"/>
          <w:sz w:val="28"/>
          <w:szCs w:val="28"/>
          <w:lang w:val="en-US" w:eastAsia="zh-CN"/>
        </w:rPr>
      </w:pPr>
      <w:r>
        <w:rPr>
          <w:rFonts w:hint="eastAsia"/>
          <w:b w:val="0"/>
          <w:bCs w:val="0"/>
          <w:sz w:val="28"/>
          <w:szCs w:val="28"/>
          <w:lang w:val="en-US" w:eastAsia="zh-CN"/>
        </w:rPr>
        <w:t>阳春市司法局</w:t>
      </w:r>
    </w:p>
    <w:p>
      <w:pPr>
        <w:numPr>
          <w:ilvl w:val="0"/>
          <w:numId w:val="0"/>
        </w:numPr>
        <w:ind w:firstLine="5493" w:firstLineChars="1962"/>
        <w:jc w:val="both"/>
        <w:rPr>
          <w:rFonts w:hint="eastAsia"/>
          <w:b w:val="0"/>
          <w:bCs w:val="0"/>
          <w:sz w:val="28"/>
          <w:szCs w:val="28"/>
          <w:lang w:val="en-US" w:eastAsia="zh-CN"/>
        </w:rPr>
      </w:pPr>
      <w:r>
        <w:rPr>
          <w:rFonts w:hint="eastAsia"/>
          <w:b w:val="0"/>
          <w:bCs w:val="0"/>
          <w:sz w:val="28"/>
          <w:szCs w:val="28"/>
          <w:lang w:val="en-US" w:eastAsia="zh-CN"/>
        </w:rPr>
        <w:t>2017年12月30日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362CD"/>
    <w:multiLevelType w:val="singleLevel"/>
    <w:tmpl w:val="5A9362CD"/>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20D63"/>
    <w:rsid w:val="05470B50"/>
    <w:rsid w:val="0A773FD7"/>
    <w:rsid w:val="11376DA5"/>
    <w:rsid w:val="1A190AB0"/>
    <w:rsid w:val="221D4A6D"/>
    <w:rsid w:val="2B420D63"/>
    <w:rsid w:val="2D277E0F"/>
    <w:rsid w:val="2FDC5FA8"/>
    <w:rsid w:val="30670E7F"/>
    <w:rsid w:val="316C5ED9"/>
    <w:rsid w:val="3368770B"/>
    <w:rsid w:val="368E1409"/>
    <w:rsid w:val="3D5F369F"/>
    <w:rsid w:val="3F0E6336"/>
    <w:rsid w:val="443C5194"/>
    <w:rsid w:val="46741623"/>
    <w:rsid w:val="473F4D7D"/>
    <w:rsid w:val="49134CCB"/>
    <w:rsid w:val="4A932459"/>
    <w:rsid w:val="4EBC67B9"/>
    <w:rsid w:val="609B5731"/>
    <w:rsid w:val="61F175C1"/>
    <w:rsid w:val="6D1B43D9"/>
    <w:rsid w:val="6E3A6F21"/>
    <w:rsid w:val="793E40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2018-02-26T01:17:00Z</dcterms:created>
  <dc:creator>rui</dc:creator>
  <cp:lastModifiedBy>Administrator</cp:lastModifiedBy>
  <dcterms:modified xsi:type="dcterms:W3CDTF">2018-02-27T12:17:15Z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