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阳春市司法局</w:t>
      </w:r>
      <w:r>
        <w:rPr>
          <w:rFonts w:hint="eastAsia"/>
          <w:b/>
          <w:bCs/>
          <w:sz w:val="32"/>
          <w:szCs w:val="32"/>
          <w:lang w:eastAsia="zh-CN"/>
        </w:rPr>
        <w:t>概况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主要职责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（一）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贯彻执行中央、广东省、阳江市和本市有关司法行政工作的方针政策和法律法规，组织起草有关地方性政策，拟定全市司法行政工作的中长期规划的年度工作计划并组织实施。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（二）负责法制宣传、普及法律常识及司法行政对外交流工作。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（三）指导、监督律师工作、公证工作并承担相应责任。依法负责律师、公证相关管理工作。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（四）指导、监督司法行政系统有关防范和处理邪教问题的工作。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（五）指导、监督、管理全市法律援助工作。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（六）指导、监督、管理全市公职律师工作。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（七）指导、监督基层司法所建设、人民调解、社区矫正、基层法律服务和安置帮教工作。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（八）依法负责全市面向社会的仲裁委员会登记工作。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（九）负责全市司法行政系统枪支、弹药警用车辆及服装管理工作，指导、监督司法行政系统的计划财务工作。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（十）指导全市司法行政系统的队伍建设和思想政治工作，组织、指导司法行政系统的警务管理和警务督察工作。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（十一）承办市委、市政府和上级司法行政机关交办的其他事项。 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机构设置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（一）本部门预算为汇总预算，包括：局本级预算，以及纳入编制范围的下属单位预算。下属单位具体包括：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1、十六个镇（街道）司法所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2、阳春市公证处。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　　（二）本部门内设机构、人员构成情况：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  <w:lang w:val="en-US" w:eastAsia="zh-CN"/>
        </w:rPr>
        <w:t>1、</w:t>
      </w:r>
      <w:r>
        <w:rPr>
          <w:rFonts w:hint="eastAsia" w:ascii="楷体_GB2312" w:eastAsia="楷体_GB2312"/>
          <w:sz w:val="32"/>
          <w:szCs w:val="32"/>
        </w:rPr>
        <w:t>办公室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2、</w:t>
      </w:r>
      <w:r>
        <w:rPr>
          <w:rFonts w:hint="eastAsia" w:ascii="楷体_GB2312" w:eastAsia="楷体_GB2312"/>
          <w:sz w:val="32"/>
          <w:szCs w:val="32"/>
        </w:rPr>
        <w:t>法规股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.3、</w:t>
      </w:r>
      <w:r>
        <w:rPr>
          <w:rFonts w:hint="eastAsia" w:ascii="楷体_GB2312" w:eastAsia="楷体_GB2312"/>
          <w:sz w:val="32"/>
          <w:szCs w:val="32"/>
        </w:rPr>
        <w:t>法制宣传教育股（挂市普法工作联席会议办公室牌子）。</w:t>
      </w:r>
      <w:r>
        <w:rPr>
          <w:rFonts w:hint="eastAsia" w:ascii="仿宋_GB2312" w:eastAsia="仿宋_GB2312"/>
          <w:sz w:val="32"/>
          <w:szCs w:val="32"/>
        </w:rPr>
        <w:t>拟定法制宣传和普及法律常识规划并组织实施；指导检查法制宣传、依法治理工作；组织编写法制宣传和普法资料；负责司法行政系统有关宣传工作。</w:t>
      </w:r>
    </w:p>
    <w:p>
      <w:pPr>
        <w:ind w:firstLine="56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楷体_GB2312" w:eastAsia="楷体_GB2312"/>
          <w:sz w:val="32"/>
          <w:szCs w:val="32"/>
        </w:rPr>
        <w:t>公证律师管理股。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5、</w:t>
      </w:r>
      <w:r>
        <w:rPr>
          <w:rFonts w:hint="eastAsia" w:ascii="楷体_GB2312" w:eastAsia="楷体_GB2312"/>
          <w:sz w:val="32"/>
          <w:szCs w:val="32"/>
        </w:rPr>
        <w:t>基层工作管理股。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6、</w:t>
      </w:r>
      <w:r>
        <w:rPr>
          <w:rFonts w:hint="eastAsia" w:ascii="楷体_GB2312" w:eastAsia="楷体_GB2312"/>
          <w:sz w:val="32"/>
          <w:szCs w:val="32"/>
        </w:rPr>
        <w:t>社区矫正工作股（挂市社区矫正工作领导小组办公室牌子）。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7、</w:t>
      </w:r>
      <w:r>
        <w:rPr>
          <w:rFonts w:hint="eastAsia" w:ascii="楷体_GB2312" w:eastAsia="楷体_GB2312"/>
          <w:sz w:val="32"/>
          <w:szCs w:val="32"/>
        </w:rPr>
        <w:t>政工科（副科级）。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黑体" w:eastAsia="黑体"/>
          <w:sz w:val="32"/>
          <w:szCs w:val="32"/>
        </w:rPr>
        <w:t>派出机构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下设</w:t>
      </w:r>
      <w:r>
        <w:rPr>
          <w:rFonts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个镇（街道）司法所，正股级，名称规范为：阳春市司法局</w:t>
      </w:r>
      <w:r>
        <w:rPr>
          <w:rFonts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司法所。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人员编制和领导职数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市司法局</w:t>
      </w:r>
      <w:r>
        <w:rPr>
          <w:rFonts w:eastAsia="仿宋_GB2312"/>
          <w:sz w:val="32"/>
          <w:szCs w:val="32"/>
        </w:rPr>
        <w:t>机关政法专项编制19名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市社区矫正工作领导小组办公室机关事业编制另行核定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。其中：局长1名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副局长3名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政工科长1名（副科级），正股级领导职数7名（含1名</w:t>
      </w:r>
      <w:r>
        <w:rPr>
          <w:rFonts w:hint="eastAsia" w:eastAsia="仿宋_GB2312"/>
          <w:sz w:val="32"/>
          <w:szCs w:val="32"/>
        </w:rPr>
        <w:t>政</w:t>
      </w:r>
      <w:r>
        <w:rPr>
          <w:rFonts w:eastAsia="仿宋_GB2312"/>
          <w:sz w:val="32"/>
          <w:szCs w:val="32"/>
        </w:rPr>
        <w:t>工科副科长），副股级领导职数3名。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后勤服务人员数3名。</w:t>
      </w:r>
    </w:p>
    <w:p>
      <w:pPr>
        <w:numPr>
          <w:ilvl w:val="0"/>
          <w:numId w:val="0"/>
        </w:numPr>
        <w:ind w:leftChars="0"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司法所政法专项编制4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名，各所设所长1名。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下属事业单位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（一）阳春市法律援助处，为市司法局属下正股级事业单位。</w:t>
      </w:r>
      <w:r>
        <w:rPr>
          <w:rFonts w:hint="eastAsia" w:ascii="仿宋_GB2312" w:eastAsia="仿宋_GB2312"/>
          <w:sz w:val="32"/>
          <w:szCs w:val="32"/>
        </w:rPr>
        <w:t>核定事业编</w:t>
      </w:r>
      <w:r>
        <w:rPr>
          <w:rFonts w:eastAsia="仿宋_GB2312"/>
          <w:sz w:val="32"/>
          <w:szCs w:val="32"/>
        </w:rPr>
        <w:t>制6名，其中主任1名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副主任1名。人员经费</w:t>
      </w:r>
      <w:r>
        <w:rPr>
          <w:rFonts w:hint="eastAsia" w:ascii="仿宋_GB2312" w:eastAsia="仿宋_GB2312"/>
          <w:sz w:val="32"/>
          <w:szCs w:val="32"/>
        </w:rPr>
        <w:t>由市财政核拨。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（二）阳春市公职律师事务所，为市司法局属下正股级事业单位。</w:t>
      </w:r>
      <w:r>
        <w:rPr>
          <w:rFonts w:eastAsia="仿宋_GB2312"/>
          <w:sz w:val="32"/>
          <w:szCs w:val="32"/>
        </w:rPr>
        <w:t>核定事业编制5名，其中主任1名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副主任1名</w:t>
      </w:r>
      <w:r>
        <w:rPr>
          <w:rFonts w:hint="eastAsia" w:ascii="仿宋_GB2312" w:eastAsia="仿宋_GB2312"/>
          <w:sz w:val="32"/>
          <w:szCs w:val="32"/>
        </w:rPr>
        <w:t>。人员经费由市财政核拨。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（三）阳春市公证处，为市司法局属下正股级事业单位。</w:t>
      </w:r>
      <w:r>
        <w:rPr>
          <w:rFonts w:hint="eastAsia" w:ascii="仿宋_GB2312" w:eastAsia="仿宋_GB2312"/>
          <w:sz w:val="32"/>
          <w:szCs w:val="32"/>
        </w:rPr>
        <w:t>其</w:t>
      </w:r>
      <w:r>
        <w:rPr>
          <w:rFonts w:eastAsia="仿宋_GB2312"/>
          <w:sz w:val="32"/>
          <w:szCs w:val="32"/>
        </w:rPr>
        <w:t>核定事业编制6</w:t>
      </w:r>
      <w:r>
        <w:rPr>
          <w:rFonts w:hint="eastAsia"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，其中主任1名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副主任1名。人员经费由市财政核补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ind w:firstLine="5760" w:firstLineChars="18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阳春市司法局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2017年12月20日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A9"/>
    <w:multiLevelType w:val="singleLevel"/>
    <w:tmpl w:val="5A935F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15500AA"/>
    <w:rsid w:val="0AC17BC4"/>
    <w:rsid w:val="140F35E4"/>
    <w:rsid w:val="15396A84"/>
    <w:rsid w:val="178F3E54"/>
    <w:rsid w:val="268824C5"/>
    <w:rsid w:val="309F4631"/>
    <w:rsid w:val="31C240C7"/>
    <w:rsid w:val="393A4564"/>
    <w:rsid w:val="3FB27EB9"/>
    <w:rsid w:val="3FFA6741"/>
    <w:rsid w:val="49D96075"/>
    <w:rsid w:val="518E3B5B"/>
    <w:rsid w:val="522300EE"/>
    <w:rsid w:val="5CDA4859"/>
    <w:rsid w:val="5E7774ED"/>
    <w:rsid w:val="6C4651B8"/>
    <w:rsid w:val="7276379F"/>
    <w:rsid w:val="764153F4"/>
    <w:rsid w:val="7BF32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Administrator</cp:lastModifiedBy>
  <dcterms:modified xsi:type="dcterms:W3CDTF">2018-02-27T12:16:16Z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