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阳春市招商局</w:t>
      </w:r>
      <w:r>
        <w:rPr>
          <w:rFonts w:hint="eastAsia"/>
          <w:b/>
          <w:bCs/>
          <w:sz w:val="32"/>
          <w:szCs w:val="32"/>
          <w:lang w:eastAsia="zh-CN"/>
        </w:rPr>
        <w:t>单位概况</w:t>
      </w:r>
    </w:p>
    <w:p>
      <w:pPr>
        <w:numPr>
          <w:ilvl w:val="0"/>
          <w:numId w:val="1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主要职责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（一）贯彻执行国家和广东省招商引资的方针政策及有关规定；研究、编制招商引资工作发展规划和年度计划，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协调、指导全市招商引资工作。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（二）会同有关部门拟定招商引资政策、办法,并做好协调和实施工作；收集、汇总全市招商引资数据，分析研究全市招商引资情况,定期向市人民政府报送有关动态和情况分析,提出工作建议。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拟订全市招商引资工作考核、奖励办法，会同有关部门做好考核奖惩工作,负责市招商引资工作经费及奖励资金的管理。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（四）宣传阳春投资环境、招商政策；负责收集、整理、编印、发布全市招商引资项目信息，收集、整理并建立外来投资客户库和投资项目库。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（五）负责牵头组织市政府主办的重大招商引资活动，协助投资者进行前期市场调研，组织、参加重大招商引资活动的洽谈签约。落户等工作。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（六）负责对外来投资企业的跟踪联系、服务，协调有关部门解决外来客商反应的问题、意见。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（七）负责外来投资客商的接待、考察、市情介绍、项目推介以及其它相关活动的安排。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（八）管理招商小组并对其招商业绩和工作情况进行考核。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（九）协助有关部门做好外商投资服务工作和利用外资工作。</w:t>
      </w:r>
    </w:p>
    <w:p>
      <w:pPr>
        <w:ind w:firstLine="280" w:firstLineChars="1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（十）承办市人民政府交办的其他工作。</w:t>
      </w:r>
    </w:p>
    <w:p>
      <w:pPr>
        <w:numPr>
          <w:ilvl w:val="0"/>
          <w:numId w:val="1"/>
        </w:numPr>
        <w:jc w:val="both"/>
        <w:rPr>
          <w:rFonts w:hint="eastAsia" w:cs="Arial"/>
          <w:color w:val="00000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机构设置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 w:cs="Arial"/>
          <w:color w:val="00000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（一）</w:t>
      </w:r>
      <w:r>
        <w:rPr>
          <w:rFonts w:hint="eastAsia" w:cs="Arial"/>
          <w:color w:val="000000"/>
          <w:sz w:val="28"/>
          <w:szCs w:val="28"/>
        </w:rPr>
        <w:t>本部门</w:t>
      </w:r>
      <w:r>
        <w:rPr>
          <w:rFonts w:hint="eastAsia" w:cs="Arial"/>
          <w:color w:val="000000"/>
          <w:sz w:val="28"/>
          <w:szCs w:val="28"/>
          <w:lang w:eastAsia="zh-CN"/>
        </w:rPr>
        <w:t>无下属单位，部门预算未局本级预算。</w:t>
      </w:r>
      <w:r>
        <w:rPr>
          <w:rFonts w:hint="eastAsia" w:cs="Arial"/>
          <w:color w:val="000000"/>
          <w:sz w:val="28"/>
          <w:szCs w:val="28"/>
        </w:rPr>
        <w:t xml:space="preserve">     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  <w:lang w:eastAsia="zh-CN"/>
        </w:rPr>
        <w:t>（二）本部门内设机构、人员构成情况如下：</w:t>
      </w:r>
      <w:r>
        <w:rPr>
          <w:rFonts w:hint="eastAsia" w:cs="Arial"/>
          <w:color w:val="000000"/>
          <w:sz w:val="28"/>
          <w:szCs w:val="28"/>
        </w:rPr>
        <w:t xml:space="preserve">                                    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cs="Arial" w:eastAsiaTheme="minorEastAsia"/>
          <w:color w:val="000000"/>
          <w:sz w:val="28"/>
          <w:szCs w:val="28"/>
          <w:lang w:eastAsia="zh-CN"/>
        </w:rPr>
      </w:pPr>
      <w:r>
        <w:rPr>
          <w:rFonts w:hint="eastAsia" w:cs="Arial"/>
          <w:color w:val="000000"/>
          <w:sz w:val="28"/>
          <w:szCs w:val="28"/>
          <w:lang w:eastAsia="zh-CN"/>
        </w:rPr>
        <w:t>本局内设</w:t>
      </w:r>
      <w:r>
        <w:rPr>
          <w:rFonts w:hint="eastAsia" w:cs="Arial"/>
          <w:color w:val="000000"/>
          <w:sz w:val="28"/>
          <w:szCs w:val="28"/>
          <w:lang w:val="en-US" w:eastAsia="zh-CN"/>
        </w:rPr>
        <w:t>4个职能股（室）。其中：办公室、投资促进股、投资管理股、综合信息股。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本局行政编制14名。其中：局长1名、副局长2名</w:t>
      </w:r>
      <w:r>
        <w:rPr>
          <w:rFonts w:hint="eastAsia" w:cs="Arial"/>
          <w:color w:val="000000"/>
          <w:sz w:val="28"/>
          <w:szCs w:val="28"/>
          <w:lang w:eastAsia="zh-CN"/>
        </w:rPr>
        <w:t>、</w:t>
      </w:r>
      <w:r>
        <w:rPr>
          <w:rFonts w:hint="eastAsia" w:cs="Arial"/>
          <w:color w:val="000000"/>
          <w:sz w:val="28"/>
          <w:szCs w:val="28"/>
        </w:rPr>
        <w:t xml:space="preserve">正股长级4名、副股级4名。后勤人员2名。                          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cs="Arial"/>
          <w:color w:val="000000"/>
          <w:sz w:val="28"/>
          <w:szCs w:val="28"/>
        </w:rPr>
        <w:t>现在在职人员14人，其中行政人员12人，工勤人员2人，离退休人员1</w:t>
      </w:r>
      <w:r>
        <w:rPr>
          <w:rFonts w:hint="eastAsia" w:cs="Arial"/>
          <w:color w:val="000000"/>
          <w:sz w:val="28"/>
          <w:szCs w:val="28"/>
          <w:lang w:val="en-US" w:eastAsia="zh-CN"/>
        </w:rPr>
        <w:t>2</w:t>
      </w:r>
      <w:r>
        <w:rPr>
          <w:rFonts w:hint="eastAsia" w:cs="Arial"/>
          <w:color w:val="000000"/>
          <w:sz w:val="28"/>
          <w:szCs w:val="28"/>
        </w:rPr>
        <w:t xml:space="preserve">人。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5FA9"/>
    <w:multiLevelType w:val="singleLevel"/>
    <w:tmpl w:val="5A935FA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00AA"/>
    <w:rsid w:val="015500AA"/>
    <w:rsid w:val="362358AA"/>
    <w:rsid w:val="393A4564"/>
    <w:rsid w:val="65F73D83"/>
    <w:rsid w:val="733D3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2018-02-26T01:11:00Z</dcterms:created>
  <dc:creator>rui</dc:creator>
  <cp:lastModifiedBy>Root</cp:lastModifiedBy>
  <dcterms:modified xsi:type="dcterms:W3CDTF">2018-03-01T02:11:51Z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