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rPr>
        <w:t>行政处罚信息公开表</w:t>
      </w: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 xml:space="preserve"> 1</w:t>
            </w:r>
          </w:p>
        </w:tc>
        <w:tc>
          <w:tcPr>
            <w:tcW w:w="1204" w:type="dxa"/>
            <w:shd w:val="clear" w:color="auto" w:fill="auto"/>
            <w:vAlign w:val="center"/>
          </w:tcPr>
          <w:p>
            <w:pPr>
              <w:keepNext w:val="0"/>
              <w:keepLines w:val="0"/>
              <w:widowControl/>
              <w:suppressLineNumbers w:val="0"/>
              <w:jc w:val="both"/>
              <w:textAlignment w:val="center"/>
              <w:rPr>
                <w:rFonts w:hint="eastAsia" w:ascii="仿宋_GB2312" w:eastAsia="仿宋_GB2312"/>
                <w:color w:val="000000"/>
                <w:sz w:val="28"/>
                <w:szCs w:val="28"/>
                <w:lang w:val="en-US" w:eastAsia="zh-CN"/>
              </w:rPr>
            </w:pPr>
            <w:r>
              <w:rPr>
                <w:rFonts w:hint="default" w:ascii="仿宋_GB2312" w:hAnsi="宋体" w:eastAsia="仿宋_GB2312" w:cs="仿宋_GB2312"/>
                <w:i w:val="0"/>
                <w:color w:val="000000"/>
                <w:kern w:val="0"/>
                <w:sz w:val="24"/>
                <w:szCs w:val="24"/>
                <w:u w:val="none"/>
                <w:lang w:val="en-US" w:eastAsia="zh-CN" w:bidi="ar"/>
              </w:rPr>
              <w:t>（</w:t>
            </w:r>
            <w:r>
              <w:rPr>
                <w:rStyle w:val="8"/>
                <w:rFonts w:hAnsi="宋体"/>
                <w:lang w:val="en-US" w:eastAsia="zh-CN" w:bidi="ar"/>
              </w:rPr>
              <w:t>阳春）食药监产罚〔2017〕016号</w:t>
            </w:r>
          </w:p>
        </w:tc>
        <w:tc>
          <w:tcPr>
            <w:tcW w:w="1508" w:type="dxa"/>
            <w:shd w:val="clear" w:color="auto" w:fill="auto"/>
            <w:vAlign w:val="center"/>
          </w:tcPr>
          <w:p>
            <w:pPr>
              <w:keepNext w:val="0"/>
              <w:keepLines w:val="0"/>
              <w:widowControl/>
              <w:suppressLineNumbers w:val="0"/>
              <w:jc w:val="left"/>
              <w:textAlignment w:val="center"/>
              <w:rPr>
                <w:rFonts w:ascii="仿宋_GB2312" w:eastAsia="仿宋_GB2312"/>
                <w:color w:val="000000"/>
                <w:sz w:val="28"/>
                <w:szCs w:val="28"/>
                <w:lang w:val="en-US"/>
              </w:rPr>
            </w:pPr>
            <w:r>
              <w:rPr>
                <w:rFonts w:hint="eastAsia" w:ascii="宋体" w:hAnsi="宋体" w:eastAsia="宋体" w:cs="宋体"/>
                <w:i w:val="0"/>
                <w:color w:val="000000"/>
                <w:kern w:val="0"/>
                <w:sz w:val="24"/>
                <w:szCs w:val="24"/>
                <w:u w:val="none"/>
                <w:lang w:val="en-US" w:eastAsia="zh-CN" w:bidi="ar"/>
              </w:rPr>
              <w:t>阳春市神力酒厂生产标签不符合规定食品案</w:t>
            </w:r>
          </w:p>
        </w:tc>
        <w:tc>
          <w:tcPr>
            <w:tcW w:w="1318" w:type="dxa"/>
            <w:shd w:val="clear" w:color="auto" w:fill="auto"/>
            <w:vAlign w:val="center"/>
          </w:tcPr>
          <w:p>
            <w:pPr>
              <w:spacing w:line="440" w:lineRule="exact"/>
              <w:rPr>
                <w:rFonts w:ascii="仿宋_GB2312" w:eastAsia="仿宋_GB2312"/>
                <w:color w:val="000000"/>
                <w:sz w:val="28"/>
                <w:szCs w:val="28"/>
                <w:lang w:val="en-US"/>
              </w:rPr>
            </w:pPr>
            <w:r>
              <w:rPr>
                <w:rFonts w:hint="eastAsia" w:ascii="宋体" w:hAnsi="宋体" w:eastAsia="宋体" w:cs="宋体"/>
                <w:i w:val="0"/>
                <w:color w:val="000000"/>
                <w:kern w:val="0"/>
                <w:sz w:val="24"/>
                <w:szCs w:val="24"/>
                <w:u w:val="none"/>
                <w:lang w:val="en-US" w:eastAsia="zh-CN" w:bidi="ar"/>
              </w:rPr>
              <w:t>阳春市神力酒厂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spacing w:line="440" w:lineRule="exact"/>
              <w:rPr>
                <w:rFonts w:ascii="仿宋_GB2312" w:eastAsia="仿宋_GB2312"/>
                <w:color w:val="000000"/>
                <w:sz w:val="28"/>
                <w:szCs w:val="28"/>
                <w:lang w:val="en-US"/>
              </w:rPr>
            </w:pPr>
            <w:r>
              <w:rPr>
                <w:rFonts w:hint="eastAsia" w:ascii="宋体" w:hAnsi="宋体" w:eastAsia="宋体" w:cs="宋体"/>
                <w:i w:val="0"/>
                <w:color w:val="000000"/>
                <w:kern w:val="0"/>
                <w:sz w:val="24"/>
                <w:szCs w:val="24"/>
                <w:u w:val="none"/>
                <w:lang w:val="en-US" w:eastAsia="zh-CN" w:bidi="ar"/>
              </w:rPr>
              <w:t>生产标签不符合规定食品</w:t>
            </w:r>
          </w:p>
        </w:tc>
        <w:tc>
          <w:tcPr>
            <w:tcW w:w="1932"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《中华人民共和国食品安全法》（2009年6月1日施行）第八十六条第一款</w:t>
            </w:r>
          </w:p>
          <w:p>
            <w:pPr>
              <w:spacing w:line="440" w:lineRule="exact"/>
              <w:rPr>
                <w:rFonts w:hint="eastAsia" w:ascii="宋体" w:hAnsi="宋体" w:eastAsia="宋体" w:cs="宋体"/>
                <w:i w:val="0"/>
                <w:color w:val="000000"/>
                <w:kern w:val="0"/>
                <w:sz w:val="24"/>
                <w:szCs w:val="24"/>
                <w:u w:val="none"/>
                <w:lang w:val="en-US" w:eastAsia="zh-CN" w:bidi="ar"/>
              </w:rPr>
            </w:pPr>
          </w:p>
          <w:p>
            <w:pPr>
              <w:spacing w:line="440" w:lineRule="exact"/>
              <w:rPr>
                <w:rFonts w:hint="eastAsia" w:ascii="仿宋_GB2312" w:eastAsia="仿宋_GB2312"/>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没收违法所得，罚款</w:t>
            </w:r>
          </w:p>
        </w:tc>
        <w:tc>
          <w:tcPr>
            <w:tcW w:w="137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2018.2.2</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2</w:t>
            </w:r>
          </w:p>
        </w:tc>
        <w:tc>
          <w:tcPr>
            <w:tcW w:w="1204" w:type="dxa"/>
            <w:shd w:val="clear" w:color="auto" w:fill="auto"/>
            <w:vAlign w:val="center"/>
          </w:tcPr>
          <w:p>
            <w:pPr>
              <w:spacing w:line="440" w:lineRule="exact"/>
              <w:rPr>
                <w:rFonts w:hint="default"/>
                <w:color w:val="000000"/>
                <w:sz w:val="24"/>
                <w:szCs w:val="24"/>
                <w:lang w:val="en-US" w:eastAsia="zh-CN"/>
              </w:rPr>
            </w:pPr>
            <w:r>
              <w:rPr>
                <w:rFonts w:hint="eastAsia"/>
                <w:color w:val="000000"/>
                <w:sz w:val="24"/>
                <w:szCs w:val="24"/>
                <w:lang w:val="en-US" w:eastAsia="zh-CN"/>
              </w:rPr>
              <w:t>（春）食药监食罚[2018]2号</w:t>
            </w:r>
          </w:p>
        </w:tc>
        <w:tc>
          <w:tcPr>
            <w:tcW w:w="1508"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李富强经营无标签的预包装食品案</w:t>
            </w:r>
          </w:p>
        </w:tc>
        <w:tc>
          <w:tcPr>
            <w:tcW w:w="1318"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李富强</w:t>
            </w:r>
          </w:p>
        </w:tc>
        <w:tc>
          <w:tcPr>
            <w:tcW w:w="1486" w:type="dxa"/>
            <w:shd w:val="clear" w:color="auto" w:fill="auto"/>
            <w:vAlign w:val="center"/>
          </w:tcPr>
          <w:p>
            <w:pPr>
              <w:spacing w:line="440" w:lineRule="exact"/>
              <w:rPr>
                <w:rFonts w:hint="eastAsia"/>
                <w:color w:val="000000"/>
                <w:sz w:val="24"/>
                <w:szCs w:val="24"/>
                <w:lang w:val="en-US" w:eastAsia="zh-CN"/>
              </w:rPr>
            </w:pPr>
          </w:p>
        </w:tc>
        <w:tc>
          <w:tcPr>
            <w:tcW w:w="1318" w:type="dxa"/>
            <w:shd w:val="clear" w:color="auto" w:fill="auto"/>
            <w:vAlign w:val="center"/>
          </w:tcPr>
          <w:p>
            <w:pPr>
              <w:spacing w:line="440" w:lineRule="exact"/>
              <w:rPr>
                <w:rFonts w:hint="eastAsia"/>
                <w:color w:val="000000"/>
                <w:sz w:val="24"/>
                <w:szCs w:val="24"/>
                <w:lang w:val="en-US" w:eastAsia="zh-CN"/>
              </w:rPr>
            </w:pPr>
          </w:p>
        </w:tc>
        <w:tc>
          <w:tcPr>
            <w:tcW w:w="1550"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经营无标签的预包装食品</w:t>
            </w:r>
          </w:p>
        </w:tc>
        <w:tc>
          <w:tcPr>
            <w:tcW w:w="1932"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《中华人民共和国行政处罚法》第二十三条和《中华人民共和国食品安全法》有第一百二十五条第一款第（二）项</w:t>
            </w: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r>
              <w:rPr>
                <w:rFonts w:hint="eastAsia"/>
                <w:color w:val="000000"/>
                <w:sz w:val="24"/>
                <w:szCs w:val="24"/>
                <w:lang w:val="en-US" w:eastAsia="zh-CN"/>
              </w:rPr>
              <w:t>责令改正，没收违法物品，没收违法所得，罚款</w:t>
            </w:r>
          </w:p>
        </w:tc>
        <w:tc>
          <w:tcPr>
            <w:tcW w:w="1379" w:type="dxa"/>
            <w:shd w:val="clear" w:color="auto" w:fill="auto"/>
            <w:vAlign w:val="center"/>
          </w:tcPr>
          <w:p>
            <w:pPr>
              <w:spacing w:line="440" w:lineRule="exact"/>
              <w:rPr>
                <w:rFonts w:hint="eastAsia"/>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2018.3.19</w:t>
            </w:r>
          </w:p>
          <w:p>
            <w:pPr>
              <w:spacing w:line="440" w:lineRule="exact"/>
              <w:rPr>
                <w:rFonts w:hint="eastAsia"/>
                <w:color w:val="000000"/>
                <w:sz w:val="24"/>
                <w:szCs w:val="24"/>
                <w:lang w:val="en-US" w:eastAsia="zh-CN"/>
              </w:rPr>
            </w:pPr>
          </w:p>
        </w:tc>
        <w:tc>
          <w:tcPr>
            <w:tcW w:w="548" w:type="dxa"/>
            <w:shd w:val="clear" w:color="auto" w:fill="auto"/>
            <w:vAlign w:val="center"/>
          </w:tcPr>
          <w:p>
            <w:pPr>
              <w:spacing w:line="440" w:lineRule="exact"/>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trPr>
        <w:tc>
          <w:tcPr>
            <w:tcW w:w="655"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3</w:t>
            </w:r>
          </w:p>
        </w:tc>
        <w:tc>
          <w:tcPr>
            <w:tcW w:w="1204" w:type="dxa"/>
            <w:shd w:val="clear" w:color="auto" w:fill="auto"/>
            <w:vAlign w:val="center"/>
          </w:tcPr>
          <w:p>
            <w:pPr>
              <w:spacing w:line="440" w:lineRule="exact"/>
              <w:rPr>
                <w:rFonts w:hint="default"/>
                <w:color w:val="000000"/>
                <w:sz w:val="24"/>
                <w:szCs w:val="24"/>
                <w:lang w:val="en-US" w:eastAsia="zh-CN"/>
              </w:rPr>
            </w:pPr>
            <w:r>
              <w:rPr>
                <w:rFonts w:hint="eastAsia"/>
                <w:color w:val="000000"/>
                <w:sz w:val="24"/>
                <w:szCs w:val="24"/>
                <w:lang w:val="en-US" w:eastAsia="zh-CN"/>
              </w:rPr>
              <w:t>（春）食药监食罚[2018]4号</w:t>
            </w:r>
          </w:p>
        </w:tc>
        <w:tc>
          <w:tcPr>
            <w:tcW w:w="1508"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 xml:space="preserve">阳春市信财副食店销售标签不符合规定的食品案 </w:t>
            </w:r>
          </w:p>
        </w:tc>
        <w:tc>
          <w:tcPr>
            <w:tcW w:w="1318"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阳春市信财副食店</w:t>
            </w:r>
          </w:p>
        </w:tc>
        <w:tc>
          <w:tcPr>
            <w:tcW w:w="1486" w:type="dxa"/>
            <w:shd w:val="clear" w:color="auto" w:fill="auto"/>
            <w:vAlign w:val="center"/>
          </w:tcPr>
          <w:p>
            <w:pPr>
              <w:spacing w:line="440" w:lineRule="exact"/>
              <w:rPr>
                <w:rFonts w:hint="eastAsia"/>
                <w:color w:val="000000"/>
                <w:sz w:val="24"/>
                <w:szCs w:val="24"/>
                <w:lang w:val="en-US" w:eastAsia="zh-CN"/>
              </w:rPr>
            </w:pPr>
          </w:p>
        </w:tc>
        <w:tc>
          <w:tcPr>
            <w:tcW w:w="1318" w:type="dxa"/>
            <w:shd w:val="clear" w:color="auto" w:fill="auto"/>
            <w:vAlign w:val="center"/>
          </w:tcPr>
          <w:p>
            <w:pPr>
              <w:spacing w:line="440" w:lineRule="exact"/>
              <w:rPr>
                <w:rFonts w:hint="eastAsia"/>
                <w:color w:val="000000"/>
                <w:sz w:val="24"/>
                <w:szCs w:val="24"/>
                <w:lang w:val="en-US" w:eastAsia="zh-CN"/>
              </w:rPr>
            </w:pPr>
          </w:p>
        </w:tc>
        <w:tc>
          <w:tcPr>
            <w:tcW w:w="1550"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销售标签不符合规定的食品</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《中华人民共和国食品安全法》第一百二十五条第一款第二项</w:t>
            </w:r>
          </w:p>
          <w:p>
            <w:pPr>
              <w:keepNext w:val="0"/>
              <w:keepLines w:val="0"/>
              <w:widowControl/>
              <w:suppressLineNumbers w:val="0"/>
              <w:jc w:val="left"/>
              <w:textAlignment w:val="center"/>
              <w:rPr>
                <w:rFonts w:hint="eastAsia"/>
                <w:color w:val="000000"/>
                <w:sz w:val="24"/>
                <w:szCs w:val="24"/>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olor w:val="000000"/>
                <w:sz w:val="24"/>
                <w:szCs w:val="24"/>
                <w:lang w:val="en-US" w:eastAsia="zh-CN"/>
              </w:rPr>
              <w:t>没收违法物品，没收违法所得，罚款</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79" w:type="dxa"/>
            <w:shd w:val="clear" w:color="auto" w:fill="auto"/>
            <w:vAlign w:val="center"/>
          </w:tcPr>
          <w:p>
            <w:pPr>
              <w:spacing w:line="440" w:lineRule="exact"/>
              <w:rPr>
                <w:rFonts w:hint="eastAsia"/>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shd w:val="clear" w:color="auto" w:fill="auto"/>
            <w:vAlign w:val="center"/>
          </w:tcPr>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color w:val="000000"/>
                <w:sz w:val="24"/>
                <w:szCs w:val="24"/>
                <w:lang w:val="en-US" w:eastAsia="zh-CN"/>
              </w:rPr>
            </w:pPr>
            <w:r>
              <w:rPr>
                <w:rFonts w:hint="eastAsia"/>
                <w:color w:val="000000"/>
                <w:sz w:val="24"/>
                <w:szCs w:val="24"/>
                <w:lang w:val="en-US" w:eastAsia="zh-CN"/>
              </w:rPr>
              <w:t>2018.4.12</w:t>
            </w:r>
          </w:p>
        </w:tc>
        <w:tc>
          <w:tcPr>
            <w:tcW w:w="548" w:type="dxa"/>
            <w:shd w:val="clear" w:color="auto" w:fill="auto"/>
            <w:vAlign w:val="center"/>
          </w:tcPr>
          <w:p>
            <w:pPr>
              <w:spacing w:line="440" w:lineRule="exact"/>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tcPr>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r>
              <w:rPr>
                <w:rFonts w:hint="eastAsia"/>
                <w:color w:val="000000"/>
                <w:sz w:val="24"/>
                <w:szCs w:val="24"/>
                <w:lang w:val="en-US" w:eastAsia="zh-CN"/>
              </w:rPr>
              <w:t>4</w:t>
            </w:r>
          </w:p>
        </w:tc>
        <w:tc>
          <w:tcPr>
            <w:tcW w:w="1204" w:type="dxa"/>
            <w:shd w:val="clear" w:color="auto" w:fill="auto"/>
            <w:vAlign w:val="center"/>
          </w:tcPr>
          <w:p>
            <w:pPr>
              <w:spacing w:line="440" w:lineRule="exact"/>
              <w:rPr>
                <w:rFonts w:hint="default"/>
                <w:color w:val="000000"/>
                <w:sz w:val="24"/>
                <w:szCs w:val="24"/>
                <w:lang w:val="en-US" w:eastAsia="zh-CN"/>
              </w:rPr>
            </w:pPr>
            <w:r>
              <w:rPr>
                <w:rFonts w:hint="eastAsia"/>
                <w:color w:val="000000"/>
                <w:sz w:val="24"/>
                <w:szCs w:val="24"/>
                <w:lang w:val="en-US" w:eastAsia="zh-CN"/>
              </w:rPr>
              <w:t>（春）食药监食罚[2018]3号</w:t>
            </w:r>
          </w:p>
        </w:tc>
        <w:tc>
          <w:tcPr>
            <w:tcW w:w="1508" w:type="dxa"/>
            <w:shd w:val="clear" w:color="auto" w:fill="auto"/>
            <w:vAlign w:val="center"/>
          </w:tcPr>
          <w:p>
            <w:pPr>
              <w:spacing w:line="440" w:lineRule="exact"/>
              <w:rPr>
                <w:rFonts w:hint="eastAsia"/>
                <w:color w:val="000000"/>
                <w:sz w:val="24"/>
                <w:szCs w:val="24"/>
                <w:lang w:val="en-US" w:eastAsia="zh-CN"/>
              </w:rPr>
            </w:pPr>
            <w:r>
              <w:rPr>
                <w:rFonts w:hint="eastAsia"/>
                <w:color w:val="000000"/>
                <w:sz w:val="24"/>
                <w:szCs w:val="24"/>
                <w:lang w:val="en-US" w:eastAsia="zh-CN"/>
              </w:rPr>
              <w:t>阳春市媚兴副食店销售标签不符合规定的酒类食品案</w:t>
            </w:r>
          </w:p>
        </w:tc>
        <w:tc>
          <w:tcPr>
            <w:tcW w:w="1318" w:type="dxa"/>
          </w:tcPr>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r>
              <w:rPr>
                <w:rFonts w:hint="eastAsia"/>
                <w:color w:val="000000"/>
                <w:sz w:val="24"/>
                <w:szCs w:val="24"/>
                <w:lang w:val="en-US" w:eastAsia="zh-CN"/>
              </w:rPr>
              <w:t>阳春市媚兴副食店</w:t>
            </w:r>
          </w:p>
        </w:tc>
        <w:tc>
          <w:tcPr>
            <w:tcW w:w="1486" w:type="dxa"/>
          </w:tcPr>
          <w:p>
            <w:pPr>
              <w:spacing w:line="440" w:lineRule="exact"/>
              <w:rPr>
                <w:rFonts w:hint="eastAsia"/>
                <w:color w:val="000000"/>
                <w:sz w:val="24"/>
                <w:szCs w:val="24"/>
                <w:lang w:val="en-US" w:eastAsia="zh-CN"/>
              </w:rPr>
            </w:pPr>
          </w:p>
        </w:tc>
        <w:tc>
          <w:tcPr>
            <w:tcW w:w="1318" w:type="dxa"/>
          </w:tcPr>
          <w:p>
            <w:pPr>
              <w:spacing w:line="440" w:lineRule="exact"/>
              <w:rPr>
                <w:rFonts w:hint="eastAsia"/>
                <w:color w:val="000000"/>
                <w:sz w:val="24"/>
                <w:szCs w:val="24"/>
                <w:lang w:val="en-US" w:eastAsia="zh-CN"/>
              </w:rPr>
            </w:pPr>
          </w:p>
        </w:tc>
        <w:tc>
          <w:tcPr>
            <w:tcW w:w="1550" w:type="dxa"/>
          </w:tcPr>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r>
              <w:rPr>
                <w:rFonts w:hint="eastAsia"/>
                <w:color w:val="000000"/>
                <w:sz w:val="24"/>
                <w:szCs w:val="24"/>
                <w:lang w:val="en-US" w:eastAsia="zh-CN"/>
              </w:rPr>
              <w:t>销售标签不符合规定的酒类</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《中华人民共和国食品安全法》第一百二十五条第一款第二项</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olor w:val="000000"/>
                <w:sz w:val="24"/>
                <w:szCs w:val="24"/>
                <w:lang w:val="en-US" w:eastAsia="zh-CN"/>
              </w:rPr>
              <w:t>没收违法物品，没收违法所得，罚款</w:t>
            </w:r>
          </w:p>
        </w:tc>
        <w:tc>
          <w:tcPr>
            <w:tcW w:w="1379" w:type="dxa"/>
          </w:tcPr>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tcPr>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2018.4.17</w:t>
            </w:r>
          </w:p>
          <w:p>
            <w:pPr>
              <w:spacing w:line="440" w:lineRule="exact"/>
              <w:rPr>
                <w:rFonts w:hint="eastAsia"/>
                <w:color w:val="000000"/>
                <w:sz w:val="24"/>
                <w:szCs w:val="24"/>
                <w:lang w:val="en-US" w:eastAsia="zh-CN"/>
              </w:rPr>
            </w:pPr>
          </w:p>
        </w:tc>
        <w:tc>
          <w:tcPr>
            <w:tcW w:w="548" w:type="dxa"/>
          </w:tcPr>
          <w:p>
            <w:pPr>
              <w:spacing w:line="440" w:lineRule="exact"/>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tcPr>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p>
          <w:p>
            <w:pPr>
              <w:spacing w:line="440" w:lineRule="exact"/>
              <w:rPr>
                <w:rFonts w:hint="eastAsia"/>
                <w:color w:val="000000"/>
                <w:sz w:val="24"/>
                <w:szCs w:val="24"/>
                <w:lang w:val="en-US" w:eastAsia="zh-CN"/>
              </w:rPr>
            </w:pPr>
            <w:r>
              <w:rPr>
                <w:rFonts w:hint="eastAsia"/>
                <w:color w:val="000000"/>
                <w:sz w:val="24"/>
                <w:szCs w:val="24"/>
                <w:lang w:val="en-US" w:eastAsia="zh-CN"/>
              </w:rPr>
              <w:t>5</w:t>
            </w:r>
          </w:p>
        </w:tc>
        <w:tc>
          <w:tcPr>
            <w:tcW w:w="1204" w:type="dxa"/>
            <w:shd w:val="clear" w:color="auto" w:fill="auto"/>
            <w:vAlign w:val="center"/>
          </w:tcPr>
          <w:p>
            <w:pPr>
              <w:keepNext w:val="0"/>
              <w:keepLines w:val="0"/>
              <w:widowControl/>
              <w:suppressLineNumbers w:val="0"/>
              <w:jc w:val="left"/>
              <w:textAlignment w:val="center"/>
              <w:rPr>
                <w:rFonts w:hint="eastAsia"/>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（春）食药监食罚[2018]6号</w:t>
            </w:r>
          </w:p>
        </w:tc>
        <w:tc>
          <w:tcPr>
            <w:tcW w:w="1508" w:type="dxa"/>
            <w:shd w:val="clear" w:color="auto" w:fill="auto"/>
            <w:vAlign w:val="center"/>
          </w:tcPr>
          <w:p>
            <w:pPr>
              <w:keepNext w:val="0"/>
              <w:keepLines w:val="0"/>
              <w:widowControl/>
              <w:suppressLineNumbers w:val="0"/>
              <w:jc w:val="left"/>
              <w:textAlignment w:val="center"/>
              <w:rPr>
                <w:rFonts w:hint="eastAsia"/>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阳春市松柏镇粮心花生油厂生产不符合食品安全标准的土榨花生油案</w:t>
            </w:r>
          </w:p>
        </w:tc>
        <w:tc>
          <w:tcPr>
            <w:tcW w:w="1318" w:type="dxa"/>
          </w:tcPr>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阳春市松柏镇粮心花生油厂</w:t>
            </w:r>
          </w:p>
        </w:tc>
        <w:tc>
          <w:tcPr>
            <w:tcW w:w="1486" w:type="dxa"/>
          </w:tcPr>
          <w:p>
            <w:pPr>
              <w:spacing w:line="440" w:lineRule="exact"/>
              <w:rPr>
                <w:rFonts w:hint="eastAsia"/>
                <w:color w:val="000000"/>
                <w:sz w:val="24"/>
                <w:szCs w:val="24"/>
                <w:lang w:val="en-US" w:eastAsia="zh-CN"/>
              </w:rPr>
            </w:pPr>
          </w:p>
        </w:tc>
        <w:tc>
          <w:tcPr>
            <w:tcW w:w="1318" w:type="dxa"/>
          </w:tcPr>
          <w:p>
            <w:pPr>
              <w:spacing w:line="440" w:lineRule="exact"/>
              <w:rPr>
                <w:rFonts w:hint="eastAsia"/>
                <w:color w:val="000000"/>
                <w:sz w:val="24"/>
                <w:szCs w:val="24"/>
                <w:lang w:val="en-US" w:eastAsia="zh-CN"/>
              </w:rPr>
            </w:pPr>
          </w:p>
        </w:tc>
        <w:tc>
          <w:tcPr>
            <w:tcW w:w="1550" w:type="dxa"/>
          </w:tcPr>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ascii="宋体" w:hAnsi="宋体" w:eastAsia="宋体" w:cs="宋体"/>
                <w:i w:val="0"/>
                <w:color w:val="000000"/>
                <w:kern w:val="0"/>
                <w:sz w:val="22"/>
                <w:szCs w:val="22"/>
                <w:u w:val="none"/>
                <w:lang w:val="en-US" w:eastAsia="zh-CN" w:bidi="ar"/>
              </w:rPr>
            </w:pPr>
          </w:p>
          <w:p>
            <w:pPr>
              <w:spacing w:line="440" w:lineRule="exact"/>
              <w:rPr>
                <w:rFonts w:hint="eastAsia"/>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生产不符合食品安全标准的土榨花生油</w:t>
            </w:r>
          </w:p>
        </w:tc>
        <w:tc>
          <w:tcPr>
            <w:tcW w:w="1932" w:type="dxa"/>
            <w:shd w:val="clear" w:color="auto" w:fill="auto"/>
            <w:vAlign w:val="center"/>
          </w:tcPr>
          <w:p>
            <w:pPr>
              <w:keepNext w:val="0"/>
              <w:keepLines w:val="0"/>
              <w:widowControl/>
              <w:suppressLineNumbers w:val="0"/>
              <w:jc w:val="left"/>
              <w:textAlignment w:val="center"/>
              <w:rPr>
                <w:rFonts w:hint="eastAsia"/>
                <w:color w:val="000000"/>
                <w:sz w:val="24"/>
                <w:szCs w:val="24"/>
                <w:lang w:val="en-US" w:eastAsia="zh-CN"/>
              </w:rPr>
            </w:pPr>
            <w:r>
              <w:rPr>
                <w:rFonts w:hint="eastAsia"/>
                <w:color w:val="000000"/>
                <w:sz w:val="24"/>
                <w:szCs w:val="24"/>
                <w:lang w:val="en-US" w:eastAsia="zh-CN"/>
              </w:rPr>
              <w:t>《广东省食品生产加工小作坊和食品摊贩管理条例》第五十条第一款</w:t>
            </w:r>
          </w:p>
          <w:p>
            <w:pPr>
              <w:keepNext w:val="0"/>
              <w:keepLines w:val="0"/>
              <w:widowControl/>
              <w:suppressLineNumbers w:val="0"/>
              <w:jc w:val="left"/>
              <w:textAlignment w:val="center"/>
              <w:rPr>
                <w:rFonts w:hint="eastAsia"/>
                <w:color w:val="000000"/>
                <w:sz w:val="24"/>
                <w:szCs w:val="24"/>
                <w:lang w:val="en-US" w:eastAsia="zh-CN"/>
              </w:rPr>
            </w:pPr>
          </w:p>
          <w:p>
            <w:pPr>
              <w:keepNext w:val="0"/>
              <w:keepLines w:val="0"/>
              <w:widowControl/>
              <w:suppressLineNumbers w:val="0"/>
              <w:jc w:val="left"/>
              <w:textAlignment w:val="center"/>
              <w:rPr>
                <w:rFonts w:hint="eastAsia"/>
                <w:color w:val="000000"/>
                <w:sz w:val="24"/>
                <w:szCs w:val="24"/>
                <w:lang w:val="en-US" w:eastAsia="zh-CN"/>
              </w:rPr>
            </w:pPr>
            <w:r>
              <w:rPr>
                <w:rFonts w:hint="eastAsia"/>
                <w:color w:val="000000"/>
                <w:sz w:val="24"/>
                <w:szCs w:val="24"/>
                <w:lang w:val="en-US" w:eastAsia="zh-CN"/>
              </w:rPr>
              <w:t>没收违法所得，罚款</w:t>
            </w:r>
          </w:p>
        </w:tc>
        <w:tc>
          <w:tcPr>
            <w:tcW w:w="1379" w:type="dxa"/>
            <w:vAlign w:val="top"/>
          </w:tcPr>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自动履行</w:t>
            </w:r>
          </w:p>
        </w:tc>
        <w:tc>
          <w:tcPr>
            <w:tcW w:w="1349" w:type="dxa"/>
          </w:tcPr>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阳春市食品药品监督管理局</w:t>
            </w:r>
          </w:p>
          <w:p>
            <w:pPr>
              <w:spacing w:line="440" w:lineRule="exact"/>
              <w:rPr>
                <w:rFonts w:hint="eastAsia" w:ascii="仿宋_GB2312" w:eastAsia="仿宋_GB2312"/>
                <w:color w:val="000000"/>
                <w:sz w:val="24"/>
                <w:szCs w:val="24"/>
                <w:lang w:val="en-US" w:eastAsia="zh-CN"/>
              </w:rPr>
            </w:pPr>
          </w:p>
          <w:p>
            <w:pPr>
              <w:spacing w:line="44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2018.4.12</w:t>
            </w:r>
            <w:bookmarkStart w:id="0" w:name="_GoBack"/>
            <w:bookmarkEnd w:id="0"/>
          </w:p>
          <w:p>
            <w:pPr>
              <w:spacing w:line="440" w:lineRule="exact"/>
              <w:rPr>
                <w:rFonts w:hint="eastAsia"/>
                <w:color w:val="000000"/>
                <w:sz w:val="24"/>
                <w:szCs w:val="24"/>
                <w:lang w:val="en-US" w:eastAsia="zh-CN"/>
              </w:rPr>
            </w:pPr>
          </w:p>
        </w:tc>
        <w:tc>
          <w:tcPr>
            <w:tcW w:w="548" w:type="dxa"/>
          </w:tcPr>
          <w:p>
            <w:pPr>
              <w:spacing w:line="440" w:lineRule="exact"/>
              <w:rPr>
                <w:rFonts w:hint="eastAsia"/>
                <w:color w:val="000000"/>
                <w:sz w:val="24"/>
                <w:szCs w:val="24"/>
                <w:lang w:val="en-US" w:eastAsia="zh-CN"/>
              </w:rPr>
            </w:pPr>
          </w:p>
        </w:tc>
      </w:tr>
    </w:tbl>
    <w:p>
      <w:pPr>
        <w:shd w:val="clear"/>
        <w:rPr>
          <w:sz w:val="24"/>
          <w:szCs w:val="24"/>
        </w:rPr>
      </w:pPr>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12225C08"/>
    <w:rsid w:val="16B43F63"/>
    <w:rsid w:val="48661DBB"/>
    <w:rsid w:val="59F7010B"/>
    <w:rsid w:val="67EE4205"/>
    <w:rsid w:val="7941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01"/>
    <w:basedOn w:val="4"/>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FF3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ScaleCrop>false</ScaleCrop>
  <LinksUpToDate>false</LinksUpToDate>
  <CharactersWithSpaces>271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cake1415880879</cp:lastModifiedBy>
  <dcterms:modified xsi:type="dcterms:W3CDTF">2018-04-28T08:34:54Z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