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6EB" w:rsidRDefault="003006EB">
      <w:pPr>
        <w:jc w:val="center"/>
        <w:rPr>
          <w:b/>
          <w:bCs/>
          <w:sz w:val="32"/>
          <w:szCs w:val="32"/>
        </w:rPr>
      </w:pPr>
      <w:r>
        <w:rPr>
          <w:b/>
          <w:bCs/>
          <w:sz w:val="32"/>
          <w:szCs w:val="32"/>
        </w:rPr>
        <w:t>2018</w:t>
      </w:r>
      <w:bookmarkStart w:id="0" w:name="_GoBack"/>
      <w:bookmarkEnd w:id="0"/>
      <w:r>
        <w:rPr>
          <w:rFonts w:hint="eastAsia"/>
          <w:b/>
          <w:bCs/>
          <w:sz w:val="32"/>
          <w:szCs w:val="32"/>
        </w:rPr>
        <w:t>年部门预算情况说明</w:t>
      </w:r>
    </w:p>
    <w:p w:rsidR="003006EB" w:rsidRDefault="003006EB">
      <w:pPr>
        <w:ind w:firstLine="560"/>
        <w:rPr>
          <w:b/>
          <w:bCs/>
          <w:sz w:val="28"/>
          <w:szCs w:val="28"/>
        </w:rPr>
      </w:pPr>
      <w:r>
        <w:rPr>
          <w:rFonts w:hint="eastAsia"/>
          <w:b/>
          <w:bCs/>
          <w:sz w:val="28"/>
          <w:szCs w:val="28"/>
        </w:rPr>
        <w:t>一、部门预算收支增减变化情况</w:t>
      </w:r>
    </w:p>
    <w:p w:rsidR="003006EB" w:rsidRDefault="003006EB">
      <w:pPr>
        <w:ind w:firstLine="560"/>
        <w:rPr>
          <w:sz w:val="28"/>
          <w:szCs w:val="28"/>
        </w:rPr>
      </w:pPr>
      <w:r>
        <w:rPr>
          <w:sz w:val="28"/>
          <w:szCs w:val="28"/>
        </w:rPr>
        <w:t>2018</w:t>
      </w:r>
      <w:r>
        <w:rPr>
          <w:rFonts w:hint="eastAsia"/>
          <w:sz w:val="28"/>
          <w:szCs w:val="28"/>
        </w:rPr>
        <w:t>年本部门收入预算</w:t>
      </w:r>
      <w:r>
        <w:rPr>
          <w:sz w:val="28"/>
          <w:szCs w:val="28"/>
        </w:rPr>
        <w:t>1665.99</w:t>
      </w:r>
      <w:r>
        <w:rPr>
          <w:rFonts w:hint="eastAsia"/>
          <w:sz w:val="28"/>
          <w:szCs w:val="28"/>
        </w:rPr>
        <w:t>万元，</w:t>
      </w:r>
      <w:r w:rsidRPr="00DF1581">
        <w:rPr>
          <w:rFonts w:hint="eastAsia"/>
          <w:sz w:val="28"/>
          <w:szCs w:val="28"/>
        </w:rPr>
        <w:t>比上年减少</w:t>
      </w:r>
      <w:r w:rsidRPr="00DF1581">
        <w:rPr>
          <w:sz w:val="28"/>
          <w:szCs w:val="28"/>
        </w:rPr>
        <w:t>14.98</w:t>
      </w:r>
      <w:r w:rsidRPr="00DF1581">
        <w:rPr>
          <w:rFonts w:hint="eastAsia"/>
          <w:sz w:val="28"/>
          <w:szCs w:val="28"/>
        </w:rPr>
        <w:t>万元，下降</w:t>
      </w:r>
      <w:r w:rsidRPr="00DF1581">
        <w:rPr>
          <w:sz w:val="28"/>
          <w:szCs w:val="28"/>
        </w:rPr>
        <w:t>0.89%</w:t>
      </w:r>
      <w:r>
        <w:rPr>
          <w:rFonts w:hint="eastAsia"/>
          <w:sz w:val="28"/>
          <w:szCs w:val="28"/>
        </w:rPr>
        <w:t>，主要原因是</w:t>
      </w:r>
      <w:r w:rsidRPr="00DF1581">
        <w:rPr>
          <w:rFonts w:hint="eastAsia"/>
          <w:sz w:val="28"/>
          <w:szCs w:val="28"/>
        </w:rPr>
        <w:t>退休</w:t>
      </w:r>
      <w:r>
        <w:rPr>
          <w:rFonts w:hint="eastAsia"/>
          <w:sz w:val="28"/>
          <w:szCs w:val="28"/>
        </w:rPr>
        <w:t>费不</w:t>
      </w:r>
      <w:r w:rsidRPr="00DF1581">
        <w:rPr>
          <w:rFonts w:hint="eastAsia"/>
          <w:sz w:val="28"/>
          <w:szCs w:val="28"/>
        </w:rPr>
        <w:t>列入</w:t>
      </w:r>
      <w:r>
        <w:rPr>
          <w:rFonts w:hint="eastAsia"/>
          <w:sz w:val="28"/>
          <w:szCs w:val="28"/>
        </w:rPr>
        <w:t>部门</w:t>
      </w:r>
      <w:r w:rsidRPr="00DF1581">
        <w:rPr>
          <w:rFonts w:hint="eastAsia"/>
          <w:sz w:val="28"/>
          <w:szCs w:val="28"/>
        </w:rPr>
        <w:t>预算和专项资金申报、验收专家评审经费减少</w:t>
      </w:r>
      <w:r w:rsidRPr="00DF1581">
        <w:rPr>
          <w:sz w:val="28"/>
          <w:szCs w:val="28"/>
        </w:rPr>
        <w:t>5</w:t>
      </w:r>
      <w:r w:rsidRPr="00DF1581">
        <w:rPr>
          <w:rFonts w:hint="eastAsia"/>
          <w:sz w:val="28"/>
          <w:szCs w:val="28"/>
        </w:rPr>
        <w:t>万元；</w:t>
      </w:r>
      <w:r>
        <w:rPr>
          <w:rFonts w:hint="eastAsia"/>
          <w:sz w:val="28"/>
          <w:szCs w:val="28"/>
        </w:rPr>
        <w:t>支出预算</w:t>
      </w:r>
      <w:r>
        <w:rPr>
          <w:sz w:val="28"/>
          <w:szCs w:val="28"/>
        </w:rPr>
        <w:t>1665.99</w:t>
      </w:r>
      <w:r>
        <w:rPr>
          <w:rFonts w:hint="eastAsia"/>
          <w:sz w:val="28"/>
          <w:szCs w:val="28"/>
        </w:rPr>
        <w:t>万元，比上年减少</w:t>
      </w:r>
      <w:r>
        <w:rPr>
          <w:sz w:val="28"/>
          <w:szCs w:val="28"/>
        </w:rPr>
        <w:t>14.98</w:t>
      </w:r>
      <w:r>
        <w:rPr>
          <w:rFonts w:hint="eastAsia"/>
          <w:sz w:val="28"/>
          <w:szCs w:val="28"/>
        </w:rPr>
        <w:t>万元，下降</w:t>
      </w:r>
      <w:r w:rsidRPr="00DF1581">
        <w:rPr>
          <w:sz w:val="28"/>
          <w:szCs w:val="28"/>
        </w:rPr>
        <w:t>0.89%</w:t>
      </w:r>
      <w:r>
        <w:rPr>
          <w:rFonts w:hint="eastAsia"/>
          <w:sz w:val="28"/>
          <w:szCs w:val="28"/>
        </w:rPr>
        <w:t>，主要原因是</w:t>
      </w:r>
      <w:r w:rsidRPr="00DF1581">
        <w:rPr>
          <w:rFonts w:hint="eastAsia"/>
          <w:sz w:val="28"/>
          <w:szCs w:val="28"/>
        </w:rPr>
        <w:t>退休</w:t>
      </w:r>
      <w:r>
        <w:rPr>
          <w:rFonts w:hint="eastAsia"/>
          <w:sz w:val="28"/>
          <w:szCs w:val="28"/>
        </w:rPr>
        <w:t>费不</w:t>
      </w:r>
      <w:r w:rsidRPr="00DF1581">
        <w:rPr>
          <w:rFonts w:hint="eastAsia"/>
          <w:sz w:val="28"/>
          <w:szCs w:val="28"/>
        </w:rPr>
        <w:t>列入</w:t>
      </w:r>
      <w:r>
        <w:rPr>
          <w:rFonts w:hint="eastAsia"/>
          <w:sz w:val="28"/>
          <w:szCs w:val="28"/>
        </w:rPr>
        <w:t>部门</w:t>
      </w:r>
      <w:r w:rsidRPr="00DF1581">
        <w:rPr>
          <w:rFonts w:hint="eastAsia"/>
          <w:sz w:val="28"/>
          <w:szCs w:val="28"/>
        </w:rPr>
        <w:t>预算和专项资金申报、验收专家评审经费减少</w:t>
      </w:r>
      <w:r w:rsidRPr="00DF1581">
        <w:rPr>
          <w:sz w:val="28"/>
          <w:szCs w:val="28"/>
        </w:rPr>
        <w:t>5</w:t>
      </w:r>
      <w:r>
        <w:rPr>
          <w:rFonts w:hint="eastAsia"/>
          <w:sz w:val="28"/>
          <w:szCs w:val="28"/>
        </w:rPr>
        <w:t>万元。</w:t>
      </w:r>
    </w:p>
    <w:p w:rsidR="003006EB" w:rsidRDefault="003006EB">
      <w:pPr>
        <w:numPr>
          <w:ilvl w:val="0"/>
          <w:numId w:val="1"/>
        </w:numPr>
        <w:ind w:firstLine="560"/>
        <w:rPr>
          <w:b/>
          <w:bCs/>
          <w:sz w:val="28"/>
          <w:szCs w:val="28"/>
        </w:rPr>
      </w:pPr>
      <w:r>
        <w:rPr>
          <w:rFonts w:hint="eastAsia"/>
          <w:b/>
          <w:bCs/>
          <w:sz w:val="28"/>
          <w:szCs w:val="28"/>
        </w:rPr>
        <w:t>“三公”经费安排情况说明</w:t>
      </w:r>
    </w:p>
    <w:p w:rsidR="003006EB" w:rsidRDefault="003006EB">
      <w:pPr>
        <w:ind w:firstLine="567"/>
        <w:rPr>
          <w:sz w:val="28"/>
          <w:szCs w:val="28"/>
        </w:rPr>
      </w:pPr>
      <w:r>
        <w:rPr>
          <w:sz w:val="28"/>
          <w:szCs w:val="28"/>
        </w:rPr>
        <w:t>2018</w:t>
      </w:r>
      <w:r>
        <w:rPr>
          <w:rFonts w:hint="eastAsia"/>
          <w:sz w:val="28"/>
          <w:szCs w:val="28"/>
        </w:rPr>
        <w:t>年部门“三公”经费预算安排</w:t>
      </w:r>
      <w:r>
        <w:rPr>
          <w:sz w:val="28"/>
          <w:szCs w:val="28"/>
        </w:rPr>
        <w:t>37</w:t>
      </w:r>
      <w:r>
        <w:rPr>
          <w:rFonts w:hint="eastAsia"/>
          <w:sz w:val="28"/>
          <w:szCs w:val="28"/>
        </w:rPr>
        <w:t>万元，比上年增加</w:t>
      </w:r>
      <w:r>
        <w:rPr>
          <w:sz w:val="28"/>
          <w:szCs w:val="28"/>
        </w:rPr>
        <w:t>0</w:t>
      </w:r>
      <w:r>
        <w:rPr>
          <w:rFonts w:hint="eastAsia"/>
          <w:sz w:val="28"/>
          <w:szCs w:val="28"/>
        </w:rPr>
        <w:t>万元，增长</w:t>
      </w:r>
      <w:r>
        <w:rPr>
          <w:sz w:val="28"/>
          <w:szCs w:val="28"/>
        </w:rPr>
        <w:t>0%</w:t>
      </w:r>
      <w:r>
        <w:rPr>
          <w:rFonts w:hint="eastAsia"/>
          <w:sz w:val="28"/>
          <w:szCs w:val="28"/>
        </w:rPr>
        <w:t>，维持与上年计划不变。其中：因公出国（境）费</w:t>
      </w:r>
      <w:r>
        <w:rPr>
          <w:sz w:val="28"/>
          <w:szCs w:val="28"/>
        </w:rPr>
        <w:t>0</w:t>
      </w:r>
      <w:r>
        <w:rPr>
          <w:rFonts w:hint="eastAsia"/>
          <w:sz w:val="28"/>
          <w:szCs w:val="28"/>
        </w:rPr>
        <w:t>万元，比上年增加</w:t>
      </w:r>
      <w:r>
        <w:rPr>
          <w:sz w:val="28"/>
          <w:szCs w:val="28"/>
        </w:rPr>
        <w:t>0</w:t>
      </w:r>
      <w:r>
        <w:rPr>
          <w:rFonts w:hint="eastAsia"/>
          <w:sz w:val="28"/>
          <w:szCs w:val="28"/>
        </w:rPr>
        <w:t>万元，增长</w:t>
      </w:r>
      <w:r>
        <w:rPr>
          <w:sz w:val="28"/>
          <w:szCs w:val="28"/>
        </w:rPr>
        <w:t>0%</w:t>
      </w:r>
      <w:r>
        <w:rPr>
          <w:rFonts w:hint="eastAsia"/>
          <w:sz w:val="28"/>
          <w:szCs w:val="28"/>
        </w:rPr>
        <w:t>，与上年保持不变；公务用车购置及运行费</w:t>
      </w:r>
      <w:r>
        <w:rPr>
          <w:sz w:val="28"/>
          <w:szCs w:val="28"/>
        </w:rPr>
        <w:t>12</w:t>
      </w:r>
      <w:r>
        <w:rPr>
          <w:rFonts w:hint="eastAsia"/>
          <w:sz w:val="28"/>
          <w:szCs w:val="28"/>
        </w:rPr>
        <w:t>万元，比上年增加</w:t>
      </w:r>
      <w:r>
        <w:rPr>
          <w:sz w:val="28"/>
          <w:szCs w:val="28"/>
        </w:rPr>
        <w:t>0</w:t>
      </w:r>
      <w:r>
        <w:rPr>
          <w:rFonts w:hint="eastAsia"/>
          <w:sz w:val="28"/>
          <w:szCs w:val="28"/>
        </w:rPr>
        <w:t>万元，增长</w:t>
      </w:r>
      <w:r>
        <w:rPr>
          <w:sz w:val="28"/>
          <w:szCs w:val="28"/>
        </w:rPr>
        <w:t>0%</w:t>
      </w:r>
      <w:r>
        <w:rPr>
          <w:rFonts w:hint="eastAsia"/>
          <w:sz w:val="28"/>
          <w:szCs w:val="28"/>
        </w:rPr>
        <w:t>，与上年保持不变；公务接待费</w:t>
      </w:r>
      <w:r>
        <w:rPr>
          <w:sz w:val="28"/>
          <w:szCs w:val="28"/>
        </w:rPr>
        <w:t>25</w:t>
      </w:r>
      <w:r>
        <w:rPr>
          <w:rFonts w:hint="eastAsia"/>
          <w:sz w:val="28"/>
          <w:szCs w:val="28"/>
        </w:rPr>
        <w:t>万元，比上年增加</w:t>
      </w:r>
      <w:r>
        <w:rPr>
          <w:sz w:val="28"/>
          <w:szCs w:val="28"/>
        </w:rPr>
        <w:t>0</w:t>
      </w:r>
      <w:r>
        <w:rPr>
          <w:rFonts w:hint="eastAsia"/>
          <w:sz w:val="28"/>
          <w:szCs w:val="28"/>
        </w:rPr>
        <w:t>万元，增长</w:t>
      </w:r>
      <w:r>
        <w:rPr>
          <w:sz w:val="28"/>
          <w:szCs w:val="28"/>
        </w:rPr>
        <w:t>0%</w:t>
      </w:r>
      <w:r>
        <w:rPr>
          <w:rFonts w:hint="eastAsia"/>
          <w:sz w:val="28"/>
          <w:szCs w:val="28"/>
        </w:rPr>
        <w:t>，与上年保持不变。</w:t>
      </w:r>
    </w:p>
    <w:p w:rsidR="003006EB" w:rsidRDefault="003006EB">
      <w:pPr>
        <w:numPr>
          <w:ilvl w:val="0"/>
          <w:numId w:val="1"/>
        </w:numPr>
        <w:ind w:firstLine="567"/>
        <w:rPr>
          <w:sz w:val="28"/>
          <w:szCs w:val="28"/>
        </w:rPr>
      </w:pPr>
      <w:r>
        <w:rPr>
          <w:rFonts w:hint="eastAsia"/>
          <w:b/>
          <w:bCs/>
          <w:sz w:val="28"/>
          <w:szCs w:val="28"/>
        </w:rPr>
        <w:t>机关运行经费安排情况</w:t>
      </w:r>
    </w:p>
    <w:p w:rsidR="003006EB" w:rsidRDefault="003006EB">
      <w:pPr>
        <w:ind w:firstLine="565"/>
        <w:rPr>
          <w:sz w:val="28"/>
          <w:szCs w:val="28"/>
        </w:rPr>
      </w:pPr>
      <w:r>
        <w:rPr>
          <w:sz w:val="28"/>
          <w:szCs w:val="28"/>
        </w:rPr>
        <w:t>2018</w:t>
      </w:r>
      <w:r>
        <w:rPr>
          <w:rFonts w:hint="eastAsia"/>
          <w:sz w:val="28"/>
          <w:szCs w:val="28"/>
        </w:rPr>
        <w:t>年，本部门机关运行经费安排</w:t>
      </w:r>
      <w:r>
        <w:rPr>
          <w:sz w:val="28"/>
          <w:szCs w:val="28"/>
        </w:rPr>
        <w:t>600.34</w:t>
      </w:r>
      <w:r>
        <w:rPr>
          <w:rFonts w:hint="eastAsia"/>
          <w:sz w:val="28"/>
          <w:szCs w:val="28"/>
        </w:rPr>
        <w:t>万元，比上年减少</w:t>
      </w:r>
      <w:r>
        <w:rPr>
          <w:sz w:val="28"/>
          <w:szCs w:val="28"/>
        </w:rPr>
        <w:t>21.26</w:t>
      </w:r>
      <w:r>
        <w:rPr>
          <w:rFonts w:hint="eastAsia"/>
          <w:sz w:val="28"/>
          <w:szCs w:val="28"/>
        </w:rPr>
        <w:t>万元，下降</w:t>
      </w:r>
      <w:r>
        <w:rPr>
          <w:sz w:val="28"/>
          <w:szCs w:val="28"/>
        </w:rPr>
        <w:t>3.42%</w:t>
      </w:r>
      <w:r>
        <w:rPr>
          <w:rFonts w:hint="eastAsia"/>
          <w:sz w:val="28"/>
          <w:szCs w:val="28"/>
        </w:rPr>
        <w:t>，主要原因是我局落实厉行节约有关规定。其中：办公费</w:t>
      </w:r>
      <w:r>
        <w:rPr>
          <w:sz w:val="28"/>
          <w:szCs w:val="28"/>
        </w:rPr>
        <w:t>24.7</w:t>
      </w:r>
      <w:r>
        <w:rPr>
          <w:rFonts w:hint="eastAsia"/>
          <w:sz w:val="28"/>
          <w:szCs w:val="28"/>
        </w:rPr>
        <w:t>万元，印刷费</w:t>
      </w:r>
      <w:r>
        <w:rPr>
          <w:sz w:val="28"/>
          <w:szCs w:val="28"/>
        </w:rPr>
        <w:t>0</w:t>
      </w:r>
      <w:r>
        <w:rPr>
          <w:rFonts w:hint="eastAsia"/>
          <w:sz w:val="28"/>
          <w:szCs w:val="28"/>
        </w:rPr>
        <w:t>万元，邮电费</w:t>
      </w:r>
      <w:r>
        <w:rPr>
          <w:sz w:val="28"/>
          <w:szCs w:val="28"/>
        </w:rPr>
        <w:t>40</w:t>
      </w:r>
      <w:r>
        <w:rPr>
          <w:rFonts w:hint="eastAsia"/>
          <w:sz w:val="28"/>
          <w:szCs w:val="28"/>
        </w:rPr>
        <w:t>万元，差旅费</w:t>
      </w:r>
      <w:r>
        <w:rPr>
          <w:sz w:val="28"/>
          <w:szCs w:val="28"/>
        </w:rPr>
        <w:t>0</w:t>
      </w:r>
      <w:r>
        <w:rPr>
          <w:rFonts w:hint="eastAsia"/>
          <w:sz w:val="28"/>
          <w:szCs w:val="28"/>
        </w:rPr>
        <w:t>万元，会议费</w:t>
      </w:r>
      <w:r>
        <w:rPr>
          <w:sz w:val="28"/>
          <w:szCs w:val="28"/>
        </w:rPr>
        <w:t>0</w:t>
      </w:r>
      <w:r>
        <w:rPr>
          <w:rFonts w:hint="eastAsia"/>
          <w:sz w:val="28"/>
          <w:szCs w:val="28"/>
        </w:rPr>
        <w:t>万元，福利费</w:t>
      </w:r>
      <w:r>
        <w:rPr>
          <w:sz w:val="28"/>
          <w:szCs w:val="28"/>
        </w:rPr>
        <w:t>0</w:t>
      </w:r>
      <w:r>
        <w:rPr>
          <w:rFonts w:hint="eastAsia"/>
          <w:sz w:val="28"/>
          <w:szCs w:val="28"/>
        </w:rPr>
        <w:t>万元，日常维修费</w:t>
      </w:r>
      <w:r>
        <w:rPr>
          <w:sz w:val="28"/>
          <w:szCs w:val="28"/>
        </w:rPr>
        <w:t>0</w:t>
      </w:r>
      <w:r>
        <w:rPr>
          <w:rFonts w:hint="eastAsia"/>
          <w:sz w:val="28"/>
          <w:szCs w:val="28"/>
        </w:rPr>
        <w:t>万元，专用材料及一般设备购置费</w:t>
      </w:r>
      <w:r>
        <w:rPr>
          <w:sz w:val="28"/>
          <w:szCs w:val="28"/>
        </w:rPr>
        <w:t>0</w:t>
      </w:r>
      <w:r>
        <w:rPr>
          <w:rFonts w:hint="eastAsia"/>
          <w:sz w:val="28"/>
          <w:szCs w:val="28"/>
        </w:rPr>
        <w:t>万元，办公用房水电费</w:t>
      </w:r>
      <w:r>
        <w:rPr>
          <w:sz w:val="28"/>
          <w:szCs w:val="28"/>
        </w:rPr>
        <w:t>0</w:t>
      </w:r>
      <w:r>
        <w:rPr>
          <w:rFonts w:hint="eastAsia"/>
          <w:sz w:val="28"/>
          <w:szCs w:val="28"/>
        </w:rPr>
        <w:t>万元，办公用房取暖费</w:t>
      </w:r>
      <w:r>
        <w:rPr>
          <w:sz w:val="28"/>
          <w:szCs w:val="28"/>
        </w:rPr>
        <w:t>0</w:t>
      </w:r>
      <w:r>
        <w:rPr>
          <w:rFonts w:hint="eastAsia"/>
          <w:sz w:val="28"/>
          <w:szCs w:val="28"/>
        </w:rPr>
        <w:t>万元，办公用房物业管理费</w:t>
      </w:r>
      <w:r>
        <w:rPr>
          <w:sz w:val="28"/>
          <w:szCs w:val="28"/>
        </w:rPr>
        <w:t>0</w:t>
      </w:r>
      <w:r>
        <w:rPr>
          <w:rFonts w:hint="eastAsia"/>
          <w:sz w:val="28"/>
          <w:szCs w:val="28"/>
        </w:rPr>
        <w:t>万元，公务用车运行维护费</w:t>
      </w:r>
      <w:r>
        <w:rPr>
          <w:sz w:val="28"/>
          <w:szCs w:val="28"/>
        </w:rPr>
        <w:t>12</w:t>
      </w:r>
      <w:r>
        <w:rPr>
          <w:rFonts w:hint="eastAsia"/>
          <w:sz w:val="28"/>
          <w:szCs w:val="28"/>
        </w:rPr>
        <w:t>万元等。</w:t>
      </w:r>
    </w:p>
    <w:p w:rsidR="003006EB" w:rsidRDefault="003006EB">
      <w:pPr>
        <w:numPr>
          <w:ilvl w:val="0"/>
          <w:numId w:val="1"/>
        </w:numPr>
        <w:ind w:firstLine="565"/>
        <w:rPr>
          <w:b/>
          <w:bCs/>
          <w:sz w:val="28"/>
          <w:szCs w:val="28"/>
        </w:rPr>
      </w:pPr>
      <w:r>
        <w:rPr>
          <w:rFonts w:hint="eastAsia"/>
          <w:b/>
          <w:bCs/>
          <w:sz w:val="28"/>
          <w:szCs w:val="28"/>
        </w:rPr>
        <w:t>政府采购情况</w:t>
      </w:r>
    </w:p>
    <w:p w:rsidR="003006EB" w:rsidRDefault="003006EB">
      <w:pPr>
        <w:ind w:firstLine="560"/>
        <w:rPr>
          <w:sz w:val="28"/>
          <w:szCs w:val="28"/>
        </w:rPr>
      </w:pPr>
      <w:r>
        <w:rPr>
          <w:sz w:val="28"/>
          <w:szCs w:val="28"/>
        </w:rPr>
        <w:t>2018</w:t>
      </w:r>
      <w:r>
        <w:rPr>
          <w:rFonts w:hint="eastAsia"/>
          <w:sz w:val="28"/>
          <w:szCs w:val="28"/>
        </w:rPr>
        <w:t>年本部门政府采购安排</w:t>
      </w:r>
      <w:r>
        <w:rPr>
          <w:sz w:val="28"/>
          <w:szCs w:val="28"/>
        </w:rPr>
        <w:t>0</w:t>
      </w:r>
      <w:r>
        <w:rPr>
          <w:rFonts w:hint="eastAsia"/>
          <w:sz w:val="28"/>
          <w:szCs w:val="28"/>
        </w:rPr>
        <w:t>万元，其中：货物类采购预算</w:t>
      </w:r>
      <w:r>
        <w:rPr>
          <w:sz w:val="28"/>
          <w:szCs w:val="28"/>
        </w:rPr>
        <w:t>0</w:t>
      </w:r>
      <w:r>
        <w:rPr>
          <w:rFonts w:hint="eastAsia"/>
          <w:sz w:val="28"/>
          <w:szCs w:val="28"/>
        </w:rPr>
        <w:t>万元，工程类采购预算</w:t>
      </w:r>
      <w:r>
        <w:rPr>
          <w:sz w:val="28"/>
          <w:szCs w:val="28"/>
        </w:rPr>
        <w:t>0</w:t>
      </w:r>
      <w:r>
        <w:rPr>
          <w:rFonts w:hint="eastAsia"/>
          <w:sz w:val="28"/>
          <w:szCs w:val="28"/>
        </w:rPr>
        <w:t>万元，服务类采购预算</w:t>
      </w:r>
      <w:r>
        <w:rPr>
          <w:sz w:val="28"/>
          <w:szCs w:val="28"/>
        </w:rPr>
        <w:t>0</w:t>
      </w:r>
      <w:r>
        <w:rPr>
          <w:rFonts w:hint="eastAsia"/>
          <w:sz w:val="28"/>
          <w:szCs w:val="28"/>
        </w:rPr>
        <w:t>万元等。</w:t>
      </w:r>
    </w:p>
    <w:p w:rsidR="003006EB" w:rsidRDefault="003006EB">
      <w:pPr>
        <w:numPr>
          <w:ilvl w:val="0"/>
          <w:numId w:val="1"/>
        </w:numPr>
        <w:ind w:firstLine="560"/>
        <w:rPr>
          <w:b/>
          <w:bCs/>
          <w:sz w:val="28"/>
          <w:szCs w:val="28"/>
        </w:rPr>
      </w:pPr>
      <w:r>
        <w:rPr>
          <w:rFonts w:hint="eastAsia"/>
          <w:b/>
          <w:bCs/>
          <w:sz w:val="28"/>
          <w:szCs w:val="28"/>
        </w:rPr>
        <w:t>国有资产占有使用情况</w:t>
      </w:r>
    </w:p>
    <w:p w:rsidR="003006EB" w:rsidRDefault="003006EB">
      <w:pPr>
        <w:ind w:firstLine="560"/>
        <w:rPr>
          <w:sz w:val="28"/>
          <w:szCs w:val="28"/>
        </w:rPr>
      </w:pPr>
      <w:r>
        <w:rPr>
          <w:rFonts w:hint="eastAsia"/>
          <w:sz w:val="28"/>
          <w:szCs w:val="28"/>
        </w:rPr>
        <w:t>截至</w:t>
      </w:r>
      <w:smartTag w:uri="urn:schemas-microsoft-com:office:smarttags" w:element="chsdate">
        <w:smartTagPr>
          <w:attr w:name="IsROCDate" w:val="False"/>
          <w:attr w:name="IsLunarDate" w:val="False"/>
          <w:attr w:name="Day" w:val="31"/>
          <w:attr w:name="Month" w:val="12"/>
          <w:attr w:name="Year" w:val="2017"/>
        </w:smartTagPr>
        <w:r>
          <w:rPr>
            <w:sz w:val="28"/>
            <w:szCs w:val="28"/>
          </w:rPr>
          <w:t>2017</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w:t>
        </w:r>
      </w:smartTag>
      <w:r>
        <w:rPr>
          <w:rFonts w:hint="eastAsia"/>
          <w:sz w:val="28"/>
          <w:szCs w:val="28"/>
        </w:rPr>
        <w:t>，本局固定资产总额为</w:t>
      </w:r>
      <w:r>
        <w:rPr>
          <w:sz w:val="28"/>
          <w:szCs w:val="28"/>
        </w:rPr>
        <w:t>9,291,483.68</w:t>
      </w:r>
      <w:r>
        <w:rPr>
          <w:rFonts w:hint="eastAsia"/>
          <w:sz w:val="28"/>
          <w:szCs w:val="28"/>
        </w:rPr>
        <w:t>元，分布构成情况为：房屋及建筑物</w:t>
      </w:r>
      <w:r>
        <w:rPr>
          <w:sz w:val="28"/>
          <w:szCs w:val="28"/>
        </w:rPr>
        <w:t>2,875,038.86</w:t>
      </w:r>
      <w:r>
        <w:rPr>
          <w:rFonts w:hint="eastAsia"/>
          <w:sz w:val="28"/>
          <w:szCs w:val="28"/>
        </w:rPr>
        <w:t>元；专用设备</w:t>
      </w:r>
      <w:r>
        <w:rPr>
          <w:sz w:val="28"/>
          <w:szCs w:val="28"/>
        </w:rPr>
        <w:t>17,200</w:t>
      </w:r>
      <w:r>
        <w:rPr>
          <w:rFonts w:hint="eastAsia"/>
          <w:sz w:val="28"/>
          <w:szCs w:val="28"/>
        </w:rPr>
        <w:t>元；交通运输设备</w:t>
      </w:r>
      <w:r>
        <w:rPr>
          <w:sz w:val="28"/>
          <w:szCs w:val="28"/>
        </w:rPr>
        <w:t>997,215.82</w:t>
      </w:r>
      <w:r>
        <w:rPr>
          <w:rFonts w:hint="eastAsia"/>
          <w:sz w:val="28"/>
          <w:szCs w:val="28"/>
        </w:rPr>
        <w:t>元；电气设备</w:t>
      </w:r>
      <w:r>
        <w:rPr>
          <w:sz w:val="28"/>
          <w:szCs w:val="28"/>
        </w:rPr>
        <w:t>696,592</w:t>
      </w:r>
      <w:r>
        <w:rPr>
          <w:rFonts w:hint="eastAsia"/>
          <w:sz w:val="28"/>
          <w:szCs w:val="28"/>
        </w:rPr>
        <w:t>元；电子产品及通信设备</w:t>
      </w:r>
      <w:r>
        <w:rPr>
          <w:sz w:val="28"/>
          <w:szCs w:val="28"/>
        </w:rPr>
        <w:t>4,303,128</w:t>
      </w:r>
      <w:r>
        <w:rPr>
          <w:rFonts w:hint="eastAsia"/>
          <w:sz w:val="28"/>
          <w:szCs w:val="28"/>
        </w:rPr>
        <w:t>元；家具用具、装具及动植物</w:t>
      </w:r>
      <w:r>
        <w:rPr>
          <w:sz w:val="28"/>
          <w:szCs w:val="28"/>
        </w:rPr>
        <w:t>375,309</w:t>
      </w:r>
      <w:r>
        <w:rPr>
          <w:rFonts w:hint="eastAsia"/>
          <w:sz w:val="28"/>
          <w:szCs w:val="28"/>
        </w:rPr>
        <w:t>元；本局占有使用车辆情况：共有车辆</w:t>
      </w:r>
      <w:r>
        <w:rPr>
          <w:sz w:val="28"/>
          <w:szCs w:val="28"/>
        </w:rPr>
        <w:t>2</w:t>
      </w:r>
      <w:r>
        <w:rPr>
          <w:rFonts w:hint="eastAsia"/>
          <w:sz w:val="28"/>
          <w:szCs w:val="28"/>
        </w:rPr>
        <w:t>辆，其中：领导干部用车</w:t>
      </w:r>
      <w:r>
        <w:rPr>
          <w:sz w:val="28"/>
          <w:szCs w:val="28"/>
        </w:rPr>
        <w:t>0</w:t>
      </w:r>
      <w:r>
        <w:rPr>
          <w:rFonts w:hint="eastAsia"/>
          <w:sz w:val="28"/>
          <w:szCs w:val="28"/>
        </w:rPr>
        <w:t>辆，一般公务用车</w:t>
      </w:r>
      <w:r>
        <w:rPr>
          <w:sz w:val="28"/>
          <w:szCs w:val="28"/>
        </w:rPr>
        <w:t>2</w:t>
      </w:r>
      <w:r>
        <w:rPr>
          <w:rFonts w:hint="eastAsia"/>
          <w:sz w:val="28"/>
          <w:szCs w:val="28"/>
        </w:rPr>
        <w:t>辆。</w:t>
      </w:r>
    </w:p>
    <w:p w:rsidR="003006EB" w:rsidRDefault="003006EB">
      <w:pPr>
        <w:numPr>
          <w:ilvl w:val="0"/>
          <w:numId w:val="1"/>
        </w:numPr>
        <w:ind w:firstLine="560"/>
        <w:rPr>
          <w:b/>
          <w:bCs/>
          <w:sz w:val="28"/>
          <w:szCs w:val="28"/>
        </w:rPr>
      </w:pPr>
      <w:r>
        <w:rPr>
          <w:rFonts w:hint="eastAsia"/>
          <w:b/>
          <w:bCs/>
          <w:sz w:val="28"/>
          <w:szCs w:val="28"/>
        </w:rPr>
        <w:t>预算绩效信息公开情况</w:t>
      </w:r>
    </w:p>
    <w:p w:rsidR="003006EB" w:rsidRDefault="003006EB">
      <w:pPr>
        <w:ind w:firstLine="560"/>
        <w:rPr>
          <w:sz w:val="28"/>
          <w:szCs w:val="28"/>
        </w:rPr>
      </w:pPr>
      <w:r>
        <w:rPr>
          <w:sz w:val="28"/>
          <w:szCs w:val="28"/>
        </w:rPr>
        <w:t>2018</w:t>
      </w:r>
      <w:r>
        <w:rPr>
          <w:rFonts w:hint="eastAsia"/>
          <w:sz w:val="28"/>
          <w:szCs w:val="28"/>
        </w:rPr>
        <w:t>年，本部门推进预算绩效信息公开的有关工作情况。本局</w:t>
      </w:r>
      <w:r>
        <w:rPr>
          <w:sz w:val="28"/>
          <w:szCs w:val="28"/>
        </w:rPr>
        <w:t>2018</w:t>
      </w:r>
      <w:r>
        <w:rPr>
          <w:rFonts w:hint="eastAsia"/>
          <w:sz w:val="28"/>
          <w:szCs w:val="28"/>
        </w:rPr>
        <w:t>年本级财政预算安排了政府投资工程项目预结算审核委托第三方审核经费</w:t>
      </w:r>
      <w:r>
        <w:rPr>
          <w:sz w:val="28"/>
          <w:szCs w:val="28"/>
        </w:rPr>
        <w:t>450</w:t>
      </w:r>
      <w:r>
        <w:rPr>
          <w:rFonts w:hint="eastAsia"/>
          <w:sz w:val="28"/>
          <w:szCs w:val="28"/>
        </w:rPr>
        <w:t>万元，主要用于委托有资质的社会中介机构参与政府投资工程项目预结算审核使用的经费，委托后加快了审核进度，有效地缓解了我市审核人员不足、专业技术人才缺乏等问题，实现了资源的优势互补和对政府投资工程项目预结算审核的全覆盖，取得了明显的工作成效，为政府投资项目的预结算审核提供了有力保障；本级预算还安排了国库支付网络设备及运行维护经费</w:t>
      </w:r>
      <w:r>
        <w:rPr>
          <w:sz w:val="28"/>
          <w:szCs w:val="28"/>
        </w:rPr>
        <w:t>75</w:t>
      </w:r>
      <w:r>
        <w:rPr>
          <w:rFonts w:hint="eastAsia"/>
          <w:sz w:val="28"/>
          <w:szCs w:val="28"/>
        </w:rPr>
        <w:t>万元，达到目标覆盖率</w:t>
      </w:r>
      <w:r>
        <w:rPr>
          <w:sz w:val="28"/>
          <w:szCs w:val="28"/>
        </w:rPr>
        <w:t>100%</w:t>
      </w:r>
      <w:r>
        <w:rPr>
          <w:rFonts w:hint="eastAsia"/>
          <w:sz w:val="28"/>
          <w:szCs w:val="28"/>
        </w:rPr>
        <w:t>。</w:t>
      </w:r>
    </w:p>
    <w:p w:rsidR="003006EB" w:rsidRDefault="003006EB">
      <w:pPr>
        <w:ind w:firstLine="560"/>
        <w:rPr>
          <w:sz w:val="28"/>
          <w:szCs w:val="28"/>
        </w:rPr>
      </w:pPr>
    </w:p>
    <w:sectPr w:rsidR="003006EB" w:rsidSect="000D13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362CD"/>
    <w:multiLevelType w:val="singleLevel"/>
    <w:tmpl w:val="5A9362CD"/>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B420D63"/>
    <w:rsid w:val="000D139D"/>
    <w:rsid w:val="001726B1"/>
    <w:rsid w:val="001A5761"/>
    <w:rsid w:val="002761AE"/>
    <w:rsid w:val="003006EB"/>
    <w:rsid w:val="00340DA6"/>
    <w:rsid w:val="003427F1"/>
    <w:rsid w:val="00370779"/>
    <w:rsid w:val="00385C6E"/>
    <w:rsid w:val="0042322A"/>
    <w:rsid w:val="004464B4"/>
    <w:rsid w:val="004621C2"/>
    <w:rsid w:val="004718DC"/>
    <w:rsid w:val="00517E4B"/>
    <w:rsid w:val="00521A80"/>
    <w:rsid w:val="005F22F9"/>
    <w:rsid w:val="00736730"/>
    <w:rsid w:val="007B177E"/>
    <w:rsid w:val="007F4389"/>
    <w:rsid w:val="00816949"/>
    <w:rsid w:val="00817292"/>
    <w:rsid w:val="008256EC"/>
    <w:rsid w:val="0086309E"/>
    <w:rsid w:val="0087720D"/>
    <w:rsid w:val="0088067D"/>
    <w:rsid w:val="0088316D"/>
    <w:rsid w:val="008C5E3F"/>
    <w:rsid w:val="008D3AC7"/>
    <w:rsid w:val="008E2E68"/>
    <w:rsid w:val="009530D6"/>
    <w:rsid w:val="009E7A5B"/>
    <w:rsid w:val="00A07D9A"/>
    <w:rsid w:val="00A607F7"/>
    <w:rsid w:val="00AC120E"/>
    <w:rsid w:val="00AC2461"/>
    <w:rsid w:val="00AC7738"/>
    <w:rsid w:val="00B02B19"/>
    <w:rsid w:val="00B76B7C"/>
    <w:rsid w:val="00B9406A"/>
    <w:rsid w:val="00CB6CAF"/>
    <w:rsid w:val="00D16E38"/>
    <w:rsid w:val="00D30060"/>
    <w:rsid w:val="00D50DD4"/>
    <w:rsid w:val="00D92701"/>
    <w:rsid w:val="00DF1581"/>
    <w:rsid w:val="00E50A4D"/>
    <w:rsid w:val="00EB25D3"/>
    <w:rsid w:val="00EF5A29"/>
    <w:rsid w:val="00F60A21"/>
    <w:rsid w:val="00FE2260"/>
    <w:rsid w:val="00FF6AE9"/>
    <w:rsid w:val="0A773FD7"/>
    <w:rsid w:val="2B420D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39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761AE"/>
    <w:rPr>
      <w:sz w:val="18"/>
      <w:szCs w:val="18"/>
    </w:rPr>
  </w:style>
  <w:style w:type="character" w:customStyle="1" w:styleId="BalloonTextChar">
    <w:name w:val="Balloon Text Char"/>
    <w:basedOn w:val="DefaultParagraphFont"/>
    <w:link w:val="BalloonText"/>
    <w:uiPriority w:val="99"/>
    <w:semiHidden/>
    <w:locked/>
    <w:rsid w:val="00340DA6"/>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311</TotalTime>
  <Pages>2</Pages>
  <Words>160</Words>
  <Characters>912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dc:creator>
  <cp:keywords/>
  <dc:description/>
  <cp:lastModifiedBy>user</cp:lastModifiedBy>
  <cp:revision>32</cp:revision>
  <cp:lastPrinted>2018-03-01T03:22:00Z</cp:lastPrinted>
  <dcterms:created xsi:type="dcterms:W3CDTF">2018-02-26T01:17:00Z</dcterms:created>
  <dcterms:modified xsi:type="dcterms:W3CDTF">2018-03-01T03:24:00Z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