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F5A" w:rsidRDefault="00232F5A" w:rsidP="00E2643F">
      <w:pPr>
        <w:jc w:val="center"/>
        <w:rPr>
          <w:rFonts w:ascii="黑体" w:eastAsia="黑体" w:hAnsi="黑体"/>
          <w:b/>
          <w:sz w:val="36"/>
          <w:szCs w:val="36"/>
        </w:rPr>
      </w:pPr>
    </w:p>
    <w:p w:rsidR="00232F5A" w:rsidRPr="00232F5A" w:rsidRDefault="00251A83" w:rsidP="00232F5A">
      <w:pPr>
        <w:jc w:val="center"/>
        <w:rPr>
          <w:rFonts w:ascii="黑体" w:eastAsia="黑体" w:hAnsi="黑体"/>
          <w:b/>
          <w:sz w:val="36"/>
          <w:szCs w:val="36"/>
        </w:rPr>
      </w:pPr>
      <w:r>
        <w:rPr>
          <w:rFonts w:ascii="黑体" w:eastAsia="黑体" w:hAnsi="黑体" w:hint="eastAsia"/>
          <w:b/>
          <w:sz w:val="36"/>
          <w:szCs w:val="36"/>
        </w:rPr>
        <w:t>阳春市发展和改革局</w:t>
      </w:r>
      <w:r w:rsidR="00432ECC">
        <w:rPr>
          <w:rFonts w:ascii="黑体" w:eastAsia="黑体" w:hAnsi="黑体" w:hint="eastAsia"/>
          <w:b/>
          <w:sz w:val="36"/>
          <w:szCs w:val="36"/>
        </w:rPr>
        <w:t>201</w:t>
      </w:r>
      <w:r w:rsidR="004A3034">
        <w:rPr>
          <w:rFonts w:ascii="黑体" w:eastAsia="黑体" w:hAnsi="黑体" w:hint="eastAsia"/>
          <w:b/>
          <w:sz w:val="36"/>
          <w:szCs w:val="36"/>
        </w:rPr>
        <w:t>7</w:t>
      </w:r>
      <w:r w:rsidR="00232F5A" w:rsidRPr="00232F5A">
        <w:rPr>
          <w:rFonts w:ascii="黑体" w:eastAsia="黑体" w:hAnsi="黑体" w:hint="eastAsia"/>
          <w:b/>
          <w:sz w:val="36"/>
          <w:szCs w:val="36"/>
        </w:rPr>
        <w:t>年部门预算基本情况说明</w:t>
      </w:r>
    </w:p>
    <w:p w:rsidR="006818B5" w:rsidRPr="00232F5A" w:rsidRDefault="006818B5" w:rsidP="00E2643F">
      <w:pPr>
        <w:rPr>
          <w:rFonts w:ascii="仿宋_GB2312" w:eastAsia="仿宋_GB2312"/>
          <w:b/>
          <w:sz w:val="32"/>
          <w:szCs w:val="32"/>
        </w:rPr>
      </w:pPr>
    </w:p>
    <w:p w:rsidR="00232F5A" w:rsidRPr="00EE13AA" w:rsidRDefault="00232F5A" w:rsidP="00EE13AA">
      <w:pPr>
        <w:ind w:firstLineChars="200" w:firstLine="643"/>
        <w:rPr>
          <w:rFonts w:ascii="仿宋" w:eastAsia="仿宋" w:hAnsi="仿宋"/>
          <w:b/>
          <w:sz w:val="32"/>
          <w:szCs w:val="32"/>
        </w:rPr>
      </w:pPr>
      <w:r w:rsidRPr="00EE13AA">
        <w:rPr>
          <w:rFonts w:ascii="仿宋" w:eastAsia="仿宋" w:hAnsi="仿宋" w:hint="eastAsia"/>
          <w:b/>
          <w:sz w:val="32"/>
          <w:szCs w:val="32"/>
        </w:rPr>
        <w:t>一、部门基本情况</w:t>
      </w:r>
    </w:p>
    <w:p w:rsidR="0075640B" w:rsidRPr="00EE13AA" w:rsidRDefault="0075640B" w:rsidP="00EE13AA">
      <w:pPr>
        <w:ind w:firstLineChars="200" w:firstLine="643"/>
        <w:rPr>
          <w:rFonts w:ascii="仿宋" w:eastAsia="仿宋" w:hAnsi="仿宋"/>
          <w:b/>
          <w:sz w:val="32"/>
          <w:szCs w:val="32"/>
        </w:rPr>
      </w:pPr>
      <w:r w:rsidRPr="00EE13AA">
        <w:rPr>
          <w:rFonts w:ascii="仿宋" w:eastAsia="仿宋" w:hAnsi="仿宋" w:hint="eastAsia"/>
          <w:b/>
          <w:sz w:val="32"/>
          <w:szCs w:val="32"/>
        </w:rPr>
        <w:t>（一）部门机构设置、职能。</w:t>
      </w:r>
    </w:p>
    <w:p w:rsidR="0075640B" w:rsidRPr="00EE13AA" w:rsidRDefault="0075640B" w:rsidP="00EE13AA">
      <w:pPr>
        <w:ind w:firstLineChars="150" w:firstLine="480"/>
        <w:rPr>
          <w:rFonts w:ascii="仿宋" w:eastAsia="仿宋" w:hAnsi="仿宋"/>
          <w:sz w:val="32"/>
          <w:szCs w:val="32"/>
        </w:rPr>
      </w:pPr>
      <w:r w:rsidRPr="00EE13AA">
        <w:rPr>
          <w:rFonts w:ascii="仿宋" w:eastAsia="仿宋" w:hAnsi="仿宋" w:hint="eastAsia"/>
          <w:sz w:val="32"/>
          <w:szCs w:val="32"/>
        </w:rPr>
        <w:t>阳春市发展和改革局</w:t>
      </w:r>
      <w:r w:rsidRPr="00EE13AA">
        <w:rPr>
          <w:rFonts w:ascii="仿宋" w:eastAsia="仿宋" w:hAnsi="仿宋"/>
          <w:sz w:val="32"/>
          <w:szCs w:val="32"/>
        </w:rPr>
        <w:t>设1</w:t>
      </w:r>
      <w:r w:rsidRPr="00EE13AA">
        <w:rPr>
          <w:rFonts w:ascii="仿宋" w:eastAsia="仿宋" w:hAnsi="仿宋" w:hint="eastAsia"/>
          <w:sz w:val="32"/>
          <w:szCs w:val="32"/>
        </w:rPr>
        <w:t>6</w:t>
      </w:r>
      <w:r w:rsidRPr="00EE13AA">
        <w:rPr>
          <w:rFonts w:ascii="仿宋" w:eastAsia="仿宋" w:hAnsi="仿宋"/>
          <w:sz w:val="32"/>
          <w:szCs w:val="32"/>
        </w:rPr>
        <w:t>个</w:t>
      </w:r>
      <w:r w:rsidRPr="00EE13AA">
        <w:rPr>
          <w:rFonts w:ascii="仿宋" w:eastAsia="仿宋" w:hAnsi="仿宋" w:hint="eastAsia"/>
          <w:sz w:val="32"/>
          <w:szCs w:val="32"/>
        </w:rPr>
        <w:t>内设机构，分别是：</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1</w:t>
      </w:r>
      <w:r w:rsidRPr="00EE13AA">
        <w:rPr>
          <w:rFonts w:ascii="仿宋" w:eastAsia="仿宋" w:hAnsi="仿宋" w:hint="eastAsia"/>
          <w:sz w:val="32"/>
          <w:szCs w:val="32"/>
        </w:rPr>
        <w:t>）办公室。</w:t>
      </w:r>
    </w:p>
    <w:p w:rsidR="00844EE9" w:rsidRPr="00EE13AA" w:rsidRDefault="00844EE9" w:rsidP="00EE13AA">
      <w:pPr>
        <w:ind w:firstLineChars="200" w:firstLine="640"/>
        <w:rPr>
          <w:rFonts w:ascii="仿宋" w:eastAsia="仿宋" w:hAnsi="仿宋"/>
          <w:sz w:val="32"/>
          <w:szCs w:val="32"/>
        </w:rPr>
      </w:pPr>
      <w:r w:rsidRPr="00EE13AA">
        <w:rPr>
          <w:rFonts w:ascii="仿宋" w:eastAsia="仿宋" w:hAnsi="仿宋" w:hint="eastAsia"/>
          <w:sz w:val="32"/>
          <w:szCs w:val="32"/>
        </w:rPr>
        <w:t>负责会务、文电、机要、档案等机关日常工作；承担信息（网络）、安全、保密、信访、政务公开等工作；承担机关财务、资产管理、内部审计等工作；负责汇总财务报表和粮食专项资金、政策性补贴、储备费、军供粮油差价等的拨补结算；参与管理粮食风险基金。</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2</w:t>
      </w:r>
      <w:r w:rsidRPr="00EE13AA">
        <w:rPr>
          <w:rFonts w:ascii="仿宋" w:eastAsia="仿宋" w:hAnsi="仿宋" w:hint="eastAsia"/>
          <w:sz w:val="32"/>
          <w:szCs w:val="32"/>
        </w:rPr>
        <w:t>）综合规划股。</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研究提出国民经济和社会发展中长期规划和年度计划，统筹协调经济社会发展重大专项规划和区域规划，并对规划和计划的实施情况进行监测与评估，提出调整意见；研究分析宏观经济形势，进行宏观经济的监测预测，提出宏观经济调控的对策和建议；组织开展对经济社会发展重大问题的研究，提出促进三次产业协调发展和加快县域、镇域经济发展的政策措施；衔接平衡土地利用与基础测绘发展规划、年度计划和政策；协调国土整治、开发、利用和保护政策，参与制定土地政策；参与编制矿产资源发展规划；配合实施主体功能区规划；负责重要文件的起草工作。</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lastRenderedPageBreak/>
        <w:t>（</w:t>
      </w:r>
      <w:r w:rsidR="009E3D3F" w:rsidRPr="00EE13AA">
        <w:rPr>
          <w:rFonts w:ascii="仿宋" w:eastAsia="仿宋" w:hAnsi="仿宋" w:hint="eastAsia"/>
          <w:sz w:val="32"/>
          <w:szCs w:val="32"/>
        </w:rPr>
        <w:t>3</w:t>
      </w:r>
      <w:r w:rsidRPr="00EE13AA">
        <w:rPr>
          <w:rFonts w:ascii="仿宋" w:eastAsia="仿宋" w:hAnsi="仿宋" w:hint="eastAsia"/>
          <w:sz w:val="32"/>
          <w:szCs w:val="32"/>
        </w:rPr>
        <w:t>）社会发展股。</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研究提出社会发展战略，拟订和协调社会发展中长期规划和年度计划，协调人口和计划生育、教育、卫生、文化、体育、广播影视、新闻出版、旅游、环境保护、政法、民政等方面发展政策；研究就业与人力资源、收入分配、社会保障情况，提出相关政策建议；协调社会事业发展和改革的重大问题；负责社会发展项目的审批、核准、备案和上报工作。</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4</w:t>
      </w:r>
      <w:r w:rsidRPr="00EE13AA">
        <w:rPr>
          <w:rFonts w:ascii="仿宋" w:eastAsia="仿宋" w:hAnsi="仿宋" w:hint="eastAsia"/>
          <w:sz w:val="32"/>
          <w:szCs w:val="32"/>
        </w:rPr>
        <w:t>）固定资产投资股。</w:t>
      </w:r>
    </w:p>
    <w:p w:rsidR="00844EE9" w:rsidRPr="00EE13AA" w:rsidRDefault="00844EE9" w:rsidP="00EE13AA">
      <w:pPr>
        <w:ind w:firstLineChars="200" w:firstLine="640"/>
        <w:rPr>
          <w:rFonts w:ascii="仿宋" w:eastAsia="仿宋" w:hAnsi="仿宋"/>
          <w:color w:val="000000"/>
          <w:sz w:val="32"/>
          <w:szCs w:val="32"/>
        </w:rPr>
      </w:pPr>
      <w:r w:rsidRPr="00EE13AA">
        <w:rPr>
          <w:rFonts w:ascii="仿宋" w:eastAsia="仿宋" w:hAnsi="仿宋" w:hint="eastAsia"/>
          <w:color w:val="000000"/>
          <w:sz w:val="32"/>
          <w:szCs w:val="32"/>
        </w:rPr>
        <w:t>监测分析全社会固定资产投资状况，提出全市固定资产投资总规模；协调投资管理和项目建设方面的有关问题；拟定政府投资规划、计划，负责中央和省预算内投资项目的审核申报；审核上报或审批核准城市基础设施建设项目；审批政府投资项目可行性研究报告和项目概算；负责全社会固定资产投资项目的登记备案工作；负责项目数据库的建立、管理，协调项目前期咨询论证工作；协调推进政府投资非经营性代建工作。</w:t>
      </w:r>
    </w:p>
    <w:p w:rsidR="00844EE9" w:rsidRPr="00EE13AA" w:rsidRDefault="00844EE9"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5</w:t>
      </w:r>
      <w:r w:rsidRPr="00EE13AA">
        <w:rPr>
          <w:rFonts w:ascii="仿宋" w:eastAsia="仿宋" w:hAnsi="仿宋" w:hint="eastAsia"/>
          <w:sz w:val="32"/>
          <w:szCs w:val="32"/>
        </w:rPr>
        <w:t>）重点项目管理股。</w:t>
      </w:r>
    </w:p>
    <w:p w:rsidR="00844EE9" w:rsidRPr="00EE13AA" w:rsidRDefault="00844EE9" w:rsidP="00EE13AA">
      <w:pPr>
        <w:ind w:firstLineChars="200" w:firstLine="640"/>
        <w:rPr>
          <w:rFonts w:ascii="仿宋" w:eastAsia="仿宋" w:hAnsi="仿宋"/>
          <w:sz w:val="32"/>
          <w:szCs w:val="32"/>
        </w:rPr>
      </w:pPr>
      <w:r w:rsidRPr="00EE13AA">
        <w:rPr>
          <w:rFonts w:ascii="仿宋" w:eastAsia="仿宋" w:hAnsi="仿宋" w:hint="eastAsia"/>
          <w:sz w:val="32"/>
          <w:szCs w:val="32"/>
        </w:rPr>
        <w:t>负责研究提出重点项目发展实施意见和方案，促进规划成果向项目转化；提出全市重点项目管理的促进意见和建议；研究和规划重点项目布局，编制全市重点项目投资计划和申报我市列入广东省、阳江市重点项目投资计划；组织编制政府投资项目可行性研究报告；协调、跟踪重大建设项目前期工作，督促检查广东省、阳江市和本市重点项目计划执行情</w:t>
      </w:r>
      <w:r w:rsidRPr="00EE13AA">
        <w:rPr>
          <w:rFonts w:ascii="仿宋" w:eastAsia="仿宋" w:hAnsi="仿宋" w:hint="eastAsia"/>
          <w:sz w:val="32"/>
          <w:szCs w:val="32"/>
        </w:rPr>
        <w:lastRenderedPageBreak/>
        <w:t>况，综合组织协调广东省、阳江市和本市重点项目建设实施过程中的重大问题；组织开展对重点建设项目的稽察、日常监测及项目后评价工作。</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6</w:t>
      </w:r>
      <w:r w:rsidRPr="00EE13AA">
        <w:rPr>
          <w:rFonts w:ascii="仿宋" w:eastAsia="仿宋" w:hAnsi="仿宋" w:hint="eastAsia"/>
          <w:sz w:val="32"/>
          <w:szCs w:val="32"/>
        </w:rPr>
        <w:t>）农村经济股。</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研究全市农业和农村经济发展状况，提出农村经济发展战略和农村经济体制改革建议；衔接平衡农业、林业、畜牧、海洋与渔业、水利、气象等发展规划和政策；提出重大项目布局建议并协调实施；组织编制下达农林水利等投资计划；审批、核准、备案和审核上报农业、林业、畜牧、海洋与渔业、水利等基本建设项目。</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7</w:t>
      </w:r>
      <w:r w:rsidRPr="00EE13AA">
        <w:rPr>
          <w:rFonts w:ascii="仿宋" w:eastAsia="仿宋" w:hAnsi="仿宋" w:hint="eastAsia"/>
          <w:sz w:val="32"/>
          <w:szCs w:val="32"/>
        </w:rPr>
        <w:t>）工业交通股。</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综合分析、协调工业、现代产业体系、综合交通运输等重大问题，统筹工业、交通、信息化、资源节约和综合利用、发展循环经济等发展规划与经济社会发展规划、计划的衔接平衡；组织实施综合性产业政策，协调推进现代产业体系建设；协调各类开发园区的重大问题；协调实施高新技术产业发展、产业技术进步的规划和重大政策，推动高新技术产业重大项目建设，做好相关高新技术产业化工作;参与编制环境保护规划，协调环保产业有关工作；协调推进清洁发展，提出发展低碳经济的政策建议;研究提出综合交通发展战略，协调综合交通发展重大事项；审批、核准或审核上报工业、交通、信息化、资源节约和综合利用等项目。组织研究全市的能源战略和拟订能源行业发展规划和年度计划，研究相关</w:t>
      </w:r>
      <w:r w:rsidRPr="00EE13AA">
        <w:rPr>
          <w:rFonts w:ascii="仿宋" w:eastAsia="仿宋" w:hAnsi="仿宋" w:hint="eastAsia"/>
          <w:sz w:val="32"/>
          <w:szCs w:val="32"/>
        </w:rPr>
        <w:lastRenderedPageBreak/>
        <w:t>体制改革建议；研究能源开发与节约、能源安全与应急、能源对外合作等重大政策；审批、核准、备案或审核上报能源建设项目；组织协调重大能源项目建设。</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8</w:t>
      </w:r>
      <w:r w:rsidRPr="00EE13AA">
        <w:rPr>
          <w:rFonts w:ascii="仿宋" w:eastAsia="仿宋" w:hAnsi="仿宋" w:hint="eastAsia"/>
          <w:sz w:val="32"/>
          <w:szCs w:val="32"/>
        </w:rPr>
        <w:t>）经贸流通股。</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研究分析国内外市场状况，提出促进贸易发展和加强宏观管理的政策措施，负责重要商品总量平衡和宏观调控，指导监督重要商品的市内储备，组织实施粮食、棉花等重要商品的进出口计划；组织拟订服务业发展战略、规划和对策，会同有关部门提出现代物流业发展的战略和规划，协调流通体制改革中的重大问题；研究和汇总利用外资、内外贸易、财政金融的中长期规划及年度计划；组织协调利用国际金融组织、外国政府贷款和商业贷款计划；负责经贸流通项目的审批、核准、备案和上报工作；按规定权限核准或审核上报利用外资项目。</w:t>
      </w:r>
    </w:p>
    <w:p w:rsidR="00844EE9" w:rsidRPr="00EE13AA" w:rsidRDefault="00844EE9"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9</w:t>
      </w:r>
      <w:r w:rsidRPr="00EE13AA">
        <w:rPr>
          <w:rFonts w:ascii="仿宋" w:eastAsia="仿宋" w:hAnsi="仿宋" w:hint="eastAsia"/>
          <w:sz w:val="32"/>
          <w:szCs w:val="32"/>
        </w:rPr>
        <w:t>）人事法规股。</w:t>
      </w:r>
    </w:p>
    <w:p w:rsidR="00844EE9" w:rsidRPr="00EE13AA" w:rsidRDefault="00844EE9" w:rsidP="00EE13AA">
      <w:pPr>
        <w:ind w:firstLineChars="200" w:firstLine="640"/>
        <w:rPr>
          <w:rFonts w:ascii="仿宋" w:eastAsia="仿宋" w:hAnsi="仿宋"/>
          <w:sz w:val="32"/>
          <w:szCs w:val="32"/>
        </w:rPr>
      </w:pPr>
      <w:r w:rsidRPr="00EE13AA">
        <w:rPr>
          <w:rFonts w:ascii="仿宋" w:eastAsia="仿宋" w:hAnsi="仿宋" w:hint="eastAsia"/>
          <w:sz w:val="32"/>
          <w:szCs w:val="32"/>
        </w:rPr>
        <w:t>负责机关和直属单位的人事管理、党务、纪检、监察、机构编制、劳资管理、社会保险、计划生育、离退休人员管理和党群等工作。研究经济体制改革和对外开放的重大问题，提出推进总体经济体制改革的意见；组织拟定综合性的经济体制改革方案，协调价格调整改革等专项改革方案；参与有关制度的改革；负责全市行政审批制度改革工作；协调和参与有关投资、物价、粮食等规范性文件的起草、修订和审核工作；监督和检查相关法律法规的贯彻实施；组织协调人大</w:t>
      </w:r>
      <w:r w:rsidRPr="00EE13AA">
        <w:rPr>
          <w:rFonts w:ascii="仿宋" w:eastAsia="仿宋" w:hAnsi="仿宋" w:hint="eastAsia"/>
          <w:sz w:val="32"/>
          <w:szCs w:val="32"/>
        </w:rPr>
        <w:lastRenderedPageBreak/>
        <w:t>代表建议、政协委员提案的办理，依法指导和协调建设项目招投标活动；负责相关的行政复议和行政应诉工作；负责本系统的行政执法和对违法、违规案件处罚的监督；参与配合本系统有关的听证事宜。</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10</w:t>
      </w:r>
      <w:r w:rsidRPr="00EE13AA">
        <w:rPr>
          <w:rFonts w:ascii="仿宋" w:eastAsia="仿宋" w:hAnsi="仿宋" w:hint="eastAsia"/>
          <w:sz w:val="32"/>
          <w:szCs w:val="32"/>
        </w:rPr>
        <w:t>）价格管理股。</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管理政府列管的商品、服务价格，按照市场机制拟定上述商品价格管理原则和办法；根据市场动态变化情况拟定实行政府指导价或政府定价的相关价格项目和标准，承担有关审核、审批、管理工作；指导行业协调价格；负责价格调节基金的征收、使用和管理。</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11</w:t>
      </w:r>
      <w:r w:rsidRPr="00EE13AA">
        <w:rPr>
          <w:rFonts w:ascii="仿宋" w:eastAsia="仿宋" w:hAnsi="仿宋" w:hint="eastAsia"/>
          <w:sz w:val="32"/>
          <w:szCs w:val="32"/>
        </w:rPr>
        <w:t>）收费管理股。</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组织实施行政事业性收费、经营服务性收费、教育收费、医疗服务价格、中介服务收费、社团收费以及在政府指导价和政府定价外收取的保证金、抵押金、风险金等费用的法规、规章和政策，拟订相关收费的项目和标准，承担有关审核、审批和监督管理工作；核发《收费许可证》和收费员证；负责收费员培训；会同财政、审计部门开展行政事业性和经营服务性收费综合年审等工作；开展清理治乱减负工作。</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12</w:t>
      </w:r>
      <w:r w:rsidRPr="00EE13AA">
        <w:rPr>
          <w:rFonts w:ascii="仿宋" w:eastAsia="仿宋" w:hAnsi="仿宋" w:hint="eastAsia"/>
          <w:sz w:val="32"/>
          <w:szCs w:val="32"/>
        </w:rPr>
        <w:t>）价格监测与成本监审股。</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承担国家和广东省、阳江市和本市规定的重要商品和居民生活必需品价格监测的组织实施工作，负责市场价格及供求信息采集、分析、预测、预警和信息发布工作，为价格总水平调控提供决策依据；负责拟订年度居民消费价格指数预</w:t>
      </w:r>
      <w:r w:rsidRPr="00EE13AA">
        <w:rPr>
          <w:rFonts w:ascii="仿宋" w:eastAsia="仿宋" w:hAnsi="仿宋" w:hint="eastAsia"/>
          <w:sz w:val="32"/>
          <w:szCs w:val="32"/>
        </w:rPr>
        <w:lastRenderedPageBreak/>
        <w:t>期目标；承担国家和广东省、阳江市和本市规定的主要农产品、商品和服务价格成本调查的组织实施工作；按照成本监审目录实施商品、服务和收费项目定调价前的成本监审和定期监审；承担制定经济和价格政策、促进经济结构调整的专项调查工作；指导各镇（街道）和市直相关部门开展价格成本调查和监审工作。</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13</w:t>
      </w:r>
      <w:r w:rsidRPr="00EE13AA">
        <w:rPr>
          <w:rFonts w:ascii="仿宋" w:eastAsia="仿宋" w:hAnsi="仿宋" w:hint="eastAsia"/>
          <w:sz w:val="32"/>
          <w:szCs w:val="32"/>
        </w:rPr>
        <w:t>）粮食调控股（军粮供应办公室）。</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研究提出粮食总量平衡中长期规划、地方储备规模、品种布局的建议；研究提出实施现代粮食流通产业发展战略的建议，组织研究粮食流通重大问题；研究提出动用市本级储备粮的建议，审核收储、轮换计划；拟订粮食市场调控、监测预警和应急保障的措施并组织实施；承担粮食统计和粮油供需总量平衡调查工作；承担军粮供应管理工作；指导开展粮食产销合作；拟订粮食仓储设施、粮食流通基础设施、粮食市场体系建设和科技发展规划。</w:t>
      </w:r>
    </w:p>
    <w:p w:rsidR="00844EE9" w:rsidRPr="00EE13AA" w:rsidRDefault="00844EE9"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14</w:t>
      </w:r>
      <w:r w:rsidRPr="00EE13AA">
        <w:rPr>
          <w:rFonts w:ascii="仿宋" w:eastAsia="仿宋" w:hAnsi="仿宋" w:hint="eastAsia"/>
          <w:sz w:val="32"/>
          <w:szCs w:val="32"/>
        </w:rPr>
        <w:t>）粮食管理股。</w:t>
      </w:r>
    </w:p>
    <w:p w:rsidR="00844EE9" w:rsidRPr="00EE13AA" w:rsidRDefault="00844EE9" w:rsidP="00EE13AA">
      <w:pPr>
        <w:ind w:firstLineChars="200" w:firstLine="640"/>
        <w:rPr>
          <w:rFonts w:ascii="仿宋" w:eastAsia="仿宋" w:hAnsi="仿宋"/>
          <w:sz w:val="32"/>
          <w:szCs w:val="32"/>
        </w:rPr>
      </w:pPr>
      <w:r w:rsidRPr="00EE13AA">
        <w:rPr>
          <w:rFonts w:ascii="仿宋" w:eastAsia="仿宋" w:hAnsi="仿宋" w:hint="eastAsia"/>
          <w:sz w:val="32"/>
          <w:szCs w:val="32"/>
        </w:rPr>
        <w:t>拟订粮食流通监督检查的制度、办法并组织实施；实施粮食行业管理，核发《粮食收购许可证》和粮食经营准入资格；负责中央储备粮和省级储备粮代储条件初审工作；监督检查粮食流通有关法律、法规、政策的执行情况；监督检查各级储备粮油计划、数量、质量、储存安全和技术规范的执行情况；指导粮食市场体系和质检体系建设；指导粮油仓储管理和安全储存工作；指导和推动粮食行业科技进步、技术</w:t>
      </w:r>
      <w:r w:rsidRPr="00EE13AA">
        <w:rPr>
          <w:rFonts w:ascii="仿宋" w:eastAsia="仿宋" w:hAnsi="仿宋" w:hint="eastAsia"/>
          <w:sz w:val="32"/>
          <w:szCs w:val="32"/>
        </w:rPr>
        <w:lastRenderedPageBreak/>
        <w:t>创新和新技术推广，开展科技交流与合作；组织拟定地方粮食质量标准和粮食储存等技术规范；会同有关部门做好粮食安全责任考核工作；指导农村粮食储备工作和粮食行业安全生产工作。组织实施和指导粮油仓储设施、粮食流通基础设施建设和维修改造；负责制定所属粮食库房安全保卫、安全生产、安全防火工作措施并组织实施；落实粮食安全保卫责任制，维护所属粮食库房治安秩序和安全稳定；承担所属粮食库房信访综治维稳和矛盾纠纷的调处工作；抓好所属粮食库房安全保卫队伍建设，加强安全保卫业务指导和培训。</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15</w:t>
      </w:r>
      <w:r w:rsidRPr="00EE13AA">
        <w:rPr>
          <w:rFonts w:ascii="仿宋" w:eastAsia="仿宋" w:hAnsi="仿宋" w:hint="eastAsia"/>
          <w:sz w:val="32"/>
          <w:szCs w:val="32"/>
        </w:rPr>
        <w:t>）国民经济动员办公室。</w:t>
      </w:r>
    </w:p>
    <w:p w:rsidR="0075640B" w:rsidRPr="00EE13AA" w:rsidRDefault="0075640B" w:rsidP="00EE13AA">
      <w:pPr>
        <w:ind w:firstLineChars="150" w:firstLine="480"/>
        <w:rPr>
          <w:rFonts w:ascii="仿宋" w:eastAsia="仿宋" w:hAnsi="仿宋"/>
          <w:sz w:val="32"/>
          <w:szCs w:val="32"/>
        </w:rPr>
      </w:pPr>
      <w:r w:rsidRPr="00EE13AA">
        <w:rPr>
          <w:rFonts w:ascii="仿宋" w:eastAsia="仿宋" w:hAnsi="仿宋" w:hint="eastAsia"/>
          <w:sz w:val="32"/>
          <w:szCs w:val="32"/>
        </w:rPr>
        <w:t>承办市国防动员委员会和广东省、阳江市国民经济动员办公室交办的工作；提出全市国民经济动员发展规划并制订动员措施；协调国民经济平战转换能力建设；审核上报军民兼容项目。</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w:t>
      </w:r>
      <w:r w:rsidR="009E3D3F" w:rsidRPr="00EE13AA">
        <w:rPr>
          <w:rFonts w:ascii="仿宋" w:eastAsia="仿宋" w:hAnsi="仿宋" w:hint="eastAsia"/>
          <w:sz w:val="32"/>
          <w:szCs w:val="32"/>
        </w:rPr>
        <w:t>16</w:t>
      </w:r>
      <w:r w:rsidRPr="00EE13AA">
        <w:rPr>
          <w:rFonts w:ascii="仿宋" w:eastAsia="仿宋" w:hAnsi="仿宋" w:hint="eastAsia"/>
          <w:sz w:val="32"/>
          <w:szCs w:val="32"/>
        </w:rPr>
        <w:t>）阳春市物价检查所。</w:t>
      </w:r>
    </w:p>
    <w:p w:rsidR="0075640B" w:rsidRPr="00EE13AA" w:rsidRDefault="0075640B" w:rsidP="00EE13AA">
      <w:pPr>
        <w:ind w:firstLineChars="200" w:firstLine="640"/>
        <w:rPr>
          <w:rFonts w:ascii="仿宋" w:eastAsia="仿宋" w:hAnsi="仿宋"/>
          <w:sz w:val="32"/>
          <w:szCs w:val="32"/>
        </w:rPr>
      </w:pPr>
      <w:r w:rsidRPr="00EE13AA">
        <w:rPr>
          <w:rFonts w:ascii="仿宋" w:eastAsia="仿宋" w:hAnsi="仿宋" w:hint="eastAsia"/>
          <w:sz w:val="32"/>
          <w:szCs w:val="32"/>
        </w:rPr>
        <w:t>负责组织实施价格行政执法，依法对本辖区商品、服务价格及收费进行监督检查，调查和处理价格投诉举报，对违法收费行为和不正当价格行为进行立案处理；组织实施明码</w:t>
      </w:r>
      <w:r w:rsidRPr="00EE13AA">
        <w:rPr>
          <w:rFonts w:ascii="仿宋" w:eastAsia="仿宋" w:hAnsi="仿宋"/>
          <w:sz w:val="32"/>
          <w:szCs w:val="32"/>
        </w:rPr>
        <w:t>标价，监督检查统计及案卷管理工作；指导各镇（街道）价格监督检查及人员培训工作。</w:t>
      </w:r>
    </w:p>
    <w:p w:rsidR="0075640B" w:rsidRPr="00EE13AA" w:rsidRDefault="0075640B" w:rsidP="00EE13AA">
      <w:pPr>
        <w:ind w:firstLineChars="200" w:firstLine="643"/>
        <w:rPr>
          <w:rFonts w:ascii="仿宋" w:eastAsia="仿宋" w:hAnsi="仿宋"/>
          <w:b/>
          <w:color w:val="000000"/>
          <w:sz w:val="32"/>
          <w:szCs w:val="32"/>
        </w:rPr>
      </w:pPr>
      <w:r w:rsidRPr="00EE13AA">
        <w:rPr>
          <w:rFonts w:ascii="仿宋" w:eastAsia="仿宋" w:hAnsi="仿宋" w:hint="eastAsia"/>
          <w:b/>
          <w:color w:val="000000"/>
          <w:sz w:val="32"/>
          <w:szCs w:val="32"/>
        </w:rPr>
        <w:t>（二）</w:t>
      </w:r>
      <w:r w:rsidR="00DC541B" w:rsidRPr="00EE13AA">
        <w:rPr>
          <w:rFonts w:ascii="仿宋" w:eastAsia="仿宋" w:hAnsi="仿宋" w:hint="eastAsia"/>
          <w:b/>
          <w:color w:val="000000"/>
          <w:sz w:val="32"/>
          <w:szCs w:val="32"/>
        </w:rPr>
        <w:t>201</w:t>
      </w:r>
      <w:r w:rsidR="004A3034">
        <w:rPr>
          <w:rFonts w:ascii="仿宋" w:eastAsia="仿宋" w:hAnsi="仿宋" w:hint="eastAsia"/>
          <w:b/>
          <w:color w:val="000000"/>
          <w:sz w:val="32"/>
          <w:szCs w:val="32"/>
        </w:rPr>
        <w:t>7</w:t>
      </w:r>
      <w:r w:rsidRPr="00EE13AA">
        <w:rPr>
          <w:rFonts w:ascii="仿宋" w:eastAsia="仿宋" w:hAnsi="仿宋" w:hint="eastAsia"/>
          <w:b/>
          <w:color w:val="000000"/>
          <w:sz w:val="32"/>
          <w:szCs w:val="32"/>
        </w:rPr>
        <w:t>年人员构成情况。</w:t>
      </w:r>
    </w:p>
    <w:p w:rsidR="0075640B" w:rsidRPr="00EE13AA" w:rsidRDefault="0075640B" w:rsidP="001422B3">
      <w:pPr>
        <w:rPr>
          <w:rFonts w:ascii="仿宋" w:eastAsia="仿宋" w:hAnsi="仿宋"/>
          <w:sz w:val="32"/>
          <w:szCs w:val="32"/>
        </w:rPr>
      </w:pPr>
      <w:r w:rsidRPr="00EE13AA">
        <w:rPr>
          <w:rFonts w:ascii="仿宋" w:eastAsia="仿宋" w:hAnsi="仿宋" w:hint="eastAsia"/>
          <w:sz w:val="32"/>
          <w:szCs w:val="32"/>
        </w:rPr>
        <w:t xml:space="preserve">   </w:t>
      </w:r>
      <w:r w:rsidR="009E3D3F" w:rsidRPr="00EE13AA">
        <w:rPr>
          <w:rFonts w:ascii="仿宋" w:eastAsia="仿宋" w:hAnsi="仿宋" w:hint="eastAsia"/>
          <w:sz w:val="32"/>
          <w:szCs w:val="32"/>
        </w:rPr>
        <w:t xml:space="preserve"> 1、</w:t>
      </w:r>
      <w:r w:rsidR="00EE13AA">
        <w:rPr>
          <w:rFonts w:ascii="仿宋" w:eastAsia="仿宋" w:hAnsi="仿宋" w:hint="eastAsia"/>
          <w:sz w:val="32"/>
          <w:szCs w:val="32"/>
        </w:rPr>
        <w:t>阳春市发展和改革局</w:t>
      </w:r>
      <w:r w:rsidR="00E21ACD" w:rsidRPr="00EE13AA">
        <w:rPr>
          <w:rFonts w:ascii="仿宋" w:eastAsia="仿宋" w:hAnsi="仿宋" w:hint="eastAsia"/>
          <w:sz w:val="32"/>
          <w:szCs w:val="32"/>
        </w:rPr>
        <w:t>本部</w:t>
      </w:r>
      <w:r w:rsidR="00C94F3D">
        <w:rPr>
          <w:rFonts w:ascii="仿宋" w:eastAsia="仿宋" w:hAnsi="仿宋" w:hint="eastAsia"/>
          <w:sz w:val="32"/>
          <w:szCs w:val="32"/>
        </w:rPr>
        <w:t>门</w:t>
      </w:r>
      <w:r w:rsidR="00EE13AA">
        <w:rPr>
          <w:rFonts w:ascii="仿宋" w:eastAsia="仿宋" w:hAnsi="仿宋" w:hint="eastAsia"/>
          <w:sz w:val="32"/>
          <w:szCs w:val="32"/>
        </w:rPr>
        <w:t>人数</w:t>
      </w:r>
      <w:r w:rsidR="00B54958" w:rsidRPr="00EE13AA">
        <w:rPr>
          <w:rFonts w:ascii="仿宋" w:eastAsia="仿宋" w:hAnsi="仿宋" w:hint="eastAsia"/>
          <w:sz w:val="32"/>
          <w:szCs w:val="32"/>
        </w:rPr>
        <w:t>共10</w:t>
      </w:r>
      <w:r w:rsidR="00342893">
        <w:rPr>
          <w:rFonts w:ascii="仿宋" w:eastAsia="仿宋" w:hAnsi="仿宋" w:hint="eastAsia"/>
          <w:sz w:val="32"/>
          <w:szCs w:val="32"/>
        </w:rPr>
        <w:t>4</w:t>
      </w:r>
      <w:r w:rsidR="00B54958" w:rsidRPr="00EE13AA">
        <w:rPr>
          <w:rFonts w:ascii="仿宋" w:eastAsia="仿宋" w:hAnsi="仿宋" w:hint="eastAsia"/>
          <w:sz w:val="32"/>
          <w:szCs w:val="32"/>
        </w:rPr>
        <w:t>人，其中行政在职</w:t>
      </w:r>
      <w:r w:rsidRPr="00EE13AA">
        <w:rPr>
          <w:rFonts w:ascii="仿宋" w:eastAsia="仿宋" w:hAnsi="仿宋" w:hint="eastAsia"/>
          <w:sz w:val="32"/>
          <w:szCs w:val="32"/>
        </w:rPr>
        <w:t>人员</w:t>
      </w:r>
      <w:r w:rsidR="00B54958" w:rsidRPr="00EE13AA">
        <w:rPr>
          <w:rFonts w:ascii="仿宋" w:eastAsia="仿宋" w:hAnsi="仿宋" w:hint="eastAsia"/>
          <w:sz w:val="32"/>
          <w:szCs w:val="32"/>
        </w:rPr>
        <w:t>人数</w:t>
      </w:r>
      <w:r w:rsidR="00342893">
        <w:rPr>
          <w:rFonts w:ascii="仿宋" w:eastAsia="仿宋" w:hAnsi="仿宋" w:hint="eastAsia"/>
          <w:sz w:val="32"/>
          <w:szCs w:val="32"/>
        </w:rPr>
        <w:t>55</w:t>
      </w:r>
      <w:r w:rsidRPr="00EE13AA">
        <w:rPr>
          <w:rFonts w:ascii="仿宋" w:eastAsia="仿宋" w:hAnsi="仿宋" w:hint="eastAsia"/>
          <w:sz w:val="32"/>
          <w:szCs w:val="32"/>
        </w:rPr>
        <w:t>人，离退休人员人</w:t>
      </w:r>
      <w:r w:rsidR="00B54958" w:rsidRPr="00EE13AA">
        <w:rPr>
          <w:rFonts w:ascii="仿宋" w:eastAsia="仿宋" w:hAnsi="仿宋" w:hint="eastAsia"/>
          <w:sz w:val="32"/>
          <w:szCs w:val="32"/>
        </w:rPr>
        <w:t>数4</w:t>
      </w:r>
      <w:r w:rsidR="00342893">
        <w:rPr>
          <w:rFonts w:ascii="仿宋" w:eastAsia="仿宋" w:hAnsi="仿宋" w:hint="eastAsia"/>
          <w:sz w:val="32"/>
          <w:szCs w:val="32"/>
        </w:rPr>
        <w:t>8</w:t>
      </w:r>
      <w:r w:rsidR="00B54958" w:rsidRPr="00EE13AA">
        <w:rPr>
          <w:rFonts w:ascii="仿宋" w:eastAsia="仿宋" w:hAnsi="仿宋" w:hint="eastAsia"/>
          <w:sz w:val="32"/>
          <w:szCs w:val="32"/>
        </w:rPr>
        <w:t>人，离岗退养1</w:t>
      </w:r>
      <w:r w:rsidR="00B54958" w:rsidRPr="00EE13AA">
        <w:rPr>
          <w:rFonts w:ascii="仿宋" w:eastAsia="仿宋" w:hAnsi="仿宋" w:hint="eastAsia"/>
          <w:sz w:val="32"/>
          <w:szCs w:val="32"/>
        </w:rPr>
        <w:lastRenderedPageBreak/>
        <w:t>人</w:t>
      </w:r>
      <w:r w:rsidRPr="00EE13AA">
        <w:rPr>
          <w:rFonts w:ascii="仿宋" w:eastAsia="仿宋" w:hAnsi="仿宋" w:hint="eastAsia"/>
          <w:sz w:val="32"/>
          <w:szCs w:val="32"/>
        </w:rPr>
        <w:t>。</w:t>
      </w:r>
    </w:p>
    <w:p w:rsidR="009E3D3F" w:rsidRPr="00EE13AA" w:rsidRDefault="009E3D3F" w:rsidP="001422B3">
      <w:pPr>
        <w:rPr>
          <w:rFonts w:ascii="仿宋" w:eastAsia="仿宋" w:hAnsi="仿宋"/>
          <w:sz w:val="32"/>
          <w:szCs w:val="32"/>
        </w:rPr>
      </w:pPr>
      <w:r w:rsidRPr="00EE13AA">
        <w:rPr>
          <w:rFonts w:ascii="仿宋" w:eastAsia="仿宋" w:hAnsi="仿宋" w:hint="eastAsia"/>
          <w:sz w:val="32"/>
          <w:szCs w:val="32"/>
        </w:rPr>
        <w:t xml:space="preserve">    2、下属单位2个，</w:t>
      </w:r>
      <w:r w:rsidR="00E21ACD" w:rsidRPr="00EE13AA">
        <w:rPr>
          <w:rFonts w:ascii="仿宋" w:eastAsia="仿宋" w:hAnsi="仿宋" w:hint="eastAsia"/>
          <w:sz w:val="32"/>
          <w:szCs w:val="32"/>
        </w:rPr>
        <w:t>在职人数</w:t>
      </w:r>
      <w:r w:rsidRPr="00EE13AA">
        <w:rPr>
          <w:rFonts w:ascii="仿宋" w:eastAsia="仿宋" w:hAnsi="仿宋" w:hint="eastAsia"/>
          <w:sz w:val="32"/>
          <w:szCs w:val="32"/>
        </w:rPr>
        <w:t>共4人，其中阳春市工程投资</w:t>
      </w:r>
      <w:r w:rsidR="00E21ACD" w:rsidRPr="00EE13AA">
        <w:rPr>
          <w:rFonts w:ascii="仿宋" w:eastAsia="仿宋" w:hAnsi="仿宋" w:hint="eastAsia"/>
          <w:sz w:val="32"/>
          <w:szCs w:val="32"/>
        </w:rPr>
        <w:t>咨询</w:t>
      </w:r>
      <w:r w:rsidRPr="00EE13AA">
        <w:rPr>
          <w:rFonts w:ascii="仿宋" w:eastAsia="仿宋" w:hAnsi="仿宋" w:hint="eastAsia"/>
          <w:sz w:val="32"/>
          <w:szCs w:val="32"/>
        </w:rPr>
        <w:t>事务所在职1人，阳春市价格认证中心在职3人。</w:t>
      </w:r>
    </w:p>
    <w:p w:rsidR="004D69F5" w:rsidRPr="00EE13AA" w:rsidRDefault="004D69F5" w:rsidP="00EE13AA">
      <w:pPr>
        <w:ind w:firstLineChars="200" w:firstLine="643"/>
        <w:rPr>
          <w:rFonts w:ascii="仿宋" w:eastAsia="仿宋" w:hAnsi="仿宋"/>
          <w:b/>
          <w:sz w:val="32"/>
          <w:szCs w:val="32"/>
        </w:rPr>
      </w:pPr>
      <w:r w:rsidRPr="00EE13AA">
        <w:rPr>
          <w:rFonts w:ascii="仿宋" w:eastAsia="仿宋" w:hAnsi="仿宋" w:hint="eastAsia"/>
          <w:b/>
          <w:sz w:val="32"/>
          <w:szCs w:val="32"/>
        </w:rPr>
        <w:t>（三）</w:t>
      </w:r>
      <w:r w:rsidR="00E139EE" w:rsidRPr="00EE13AA">
        <w:rPr>
          <w:rFonts w:ascii="仿宋" w:eastAsia="仿宋" w:hAnsi="仿宋" w:hint="eastAsia"/>
          <w:b/>
          <w:sz w:val="32"/>
          <w:szCs w:val="32"/>
        </w:rPr>
        <w:t>201</w:t>
      </w:r>
      <w:r w:rsidR="004A3034">
        <w:rPr>
          <w:rFonts w:ascii="仿宋" w:eastAsia="仿宋" w:hAnsi="仿宋" w:hint="eastAsia"/>
          <w:b/>
          <w:sz w:val="32"/>
          <w:szCs w:val="32"/>
        </w:rPr>
        <w:t>7</w:t>
      </w:r>
      <w:r w:rsidRPr="00EE13AA">
        <w:rPr>
          <w:rFonts w:ascii="仿宋" w:eastAsia="仿宋" w:hAnsi="仿宋" w:hint="eastAsia"/>
          <w:b/>
          <w:sz w:val="32"/>
          <w:szCs w:val="32"/>
        </w:rPr>
        <w:t>年主要工作任务。</w:t>
      </w:r>
    </w:p>
    <w:p w:rsidR="004D69F5" w:rsidRPr="00EE13AA" w:rsidRDefault="00E139EE" w:rsidP="00EE13AA">
      <w:pPr>
        <w:ind w:firstLineChars="200" w:firstLine="640"/>
        <w:rPr>
          <w:rFonts w:ascii="仿宋" w:eastAsia="仿宋" w:hAnsi="仿宋"/>
          <w:sz w:val="32"/>
          <w:szCs w:val="32"/>
        </w:rPr>
      </w:pPr>
      <w:r w:rsidRPr="00EE13AA">
        <w:rPr>
          <w:rFonts w:ascii="仿宋" w:eastAsia="仿宋" w:hAnsi="仿宋" w:hint="eastAsia"/>
          <w:sz w:val="32"/>
          <w:szCs w:val="32"/>
        </w:rPr>
        <w:t>按本局职能努力完成市委市政府交办的各项工作任务。</w:t>
      </w:r>
    </w:p>
    <w:p w:rsidR="00611E49" w:rsidRPr="00EE13AA" w:rsidRDefault="00611E49" w:rsidP="00EE13AA">
      <w:pPr>
        <w:ind w:firstLineChars="200" w:firstLine="643"/>
        <w:rPr>
          <w:rFonts w:ascii="仿宋" w:eastAsia="仿宋" w:hAnsi="仿宋"/>
          <w:b/>
          <w:sz w:val="32"/>
          <w:szCs w:val="32"/>
        </w:rPr>
      </w:pPr>
      <w:r w:rsidRPr="00EE13AA">
        <w:rPr>
          <w:rFonts w:ascii="仿宋" w:eastAsia="仿宋" w:hAnsi="仿宋" w:hint="eastAsia"/>
          <w:b/>
          <w:sz w:val="32"/>
          <w:szCs w:val="32"/>
        </w:rPr>
        <w:t>二、收入预算</w:t>
      </w:r>
      <w:r w:rsidR="00A03A43">
        <w:rPr>
          <w:rFonts w:ascii="仿宋" w:eastAsia="仿宋" w:hAnsi="仿宋" w:hint="eastAsia"/>
          <w:b/>
          <w:sz w:val="32"/>
          <w:szCs w:val="32"/>
        </w:rPr>
        <w:t>说明</w:t>
      </w:r>
    </w:p>
    <w:p w:rsidR="00611E49" w:rsidRPr="00EE13AA" w:rsidRDefault="00EE13AA" w:rsidP="00EE13AA">
      <w:pPr>
        <w:ind w:firstLineChars="250" w:firstLine="800"/>
        <w:rPr>
          <w:rFonts w:ascii="仿宋" w:eastAsia="仿宋" w:hAnsi="仿宋"/>
          <w:sz w:val="32"/>
          <w:szCs w:val="32"/>
        </w:rPr>
      </w:pPr>
      <w:r>
        <w:rPr>
          <w:rFonts w:ascii="仿宋" w:eastAsia="仿宋" w:hAnsi="仿宋" w:hint="eastAsia"/>
          <w:sz w:val="32"/>
          <w:szCs w:val="32"/>
        </w:rPr>
        <w:t>201</w:t>
      </w:r>
      <w:r w:rsidR="00BD2521">
        <w:rPr>
          <w:rFonts w:ascii="仿宋" w:eastAsia="仿宋" w:hAnsi="仿宋" w:hint="eastAsia"/>
          <w:sz w:val="32"/>
          <w:szCs w:val="32"/>
        </w:rPr>
        <w:t>7</w:t>
      </w:r>
      <w:r w:rsidR="00611E49" w:rsidRPr="00EE13AA">
        <w:rPr>
          <w:rFonts w:ascii="仿宋" w:eastAsia="仿宋" w:hAnsi="仿宋" w:hint="eastAsia"/>
          <w:sz w:val="32"/>
          <w:szCs w:val="32"/>
        </w:rPr>
        <w:t>年度部门预算总收入</w:t>
      </w:r>
      <w:r w:rsidR="005258CB">
        <w:rPr>
          <w:rFonts w:ascii="仿宋" w:eastAsia="仿宋" w:hAnsi="仿宋" w:hint="eastAsia"/>
          <w:sz w:val="32"/>
          <w:szCs w:val="32"/>
        </w:rPr>
        <w:t>1797</w:t>
      </w:r>
      <w:r w:rsidR="00611E49" w:rsidRPr="00EE13AA">
        <w:rPr>
          <w:rFonts w:ascii="仿宋" w:eastAsia="仿宋" w:hAnsi="仿宋" w:hint="eastAsia"/>
          <w:sz w:val="32"/>
          <w:szCs w:val="32"/>
        </w:rPr>
        <w:t>万元，其中</w:t>
      </w:r>
      <w:r w:rsidR="00A01BA8">
        <w:rPr>
          <w:rFonts w:ascii="仿宋" w:eastAsia="仿宋" w:hAnsi="仿宋" w:hint="eastAsia"/>
          <w:sz w:val="32"/>
          <w:szCs w:val="32"/>
        </w:rPr>
        <w:t>1、</w:t>
      </w:r>
      <w:r>
        <w:rPr>
          <w:rFonts w:ascii="仿宋" w:eastAsia="仿宋" w:hAnsi="仿宋" w:hint="eastAsia"/>
          <w:sz w:val="32"/>
          <w:szCs w:val="32"/>
        </w:rPr>
        <w:t>阳春市发展和改革局机关预算收入</w:t>
      </w:r>
      <w:r w:rsidR="005258CB">
        <w:rPr>
          <w:rFonts w:ascii="仿宋" w:eastAsia="仿宋" w:hAnsi="仿宋" w:hint="eastAsia"/>
          <w:sz w:val="32"/>
          <w:szCs w:val="32"/>
        </w:rPr>
        <w:t>722.74</w:t>
      </w:r>
      <w:r w:rsidR="00A01BA8">
        <w:rPr>
          <w:rFonts w:ascii="仿宋" w:eastAsia="仿宋" w:hAnsi="仿宋" w:hint="eastAsia"/>
          <w:sz w:val="32"/>
          <w:szCs w:val="32"/>
        </w:rPr>
        <w:t>万元。2、</w:t>
      </w:r>
      <w:r>
        <w:rPr>
          <w:rFonts w:ascii="仿宋" w:eastAsia="仿宋" w:hAnsi="仿宋" w:hint="eastAsia"/>
          <w:sz w:val="32"/>
          <w:szCs w:val="32"/>
        </w:rPr>
        <w:t>阳春市工程投资咨询事务所（二级单位）</w:t>
      </w:r>
      <w:r w:rsidR="008271DD">
        <w:rPr>
          <w:rFonts w:ascii="仿宋" w:eastAsia="仿宋" w:hAnsi="仿宋" w:hint="eastAsia"/>
          <w:sz w:val="32"/>
          <w:szCs w:val="32"/>
        </w:rPr>
        <w:t>预算收入</w:t>
      </w:r>
      <w:r w:rsidR="00BD2521">
        <w:rPr>
          <w:rFonts w:ascii="仿宋" w:eastAsia="仿宋" w:hAnsi="仿宋" w:hint="eastAsia"/>
          <w:sz w:val="32"/>
          <w:szCs w:val="32"/>
        </w:rPr>
        <w:t>6.83</w:t>
      </w:r>
      <w:r w:rsidR="00A01BA8">
        <w:rPr>
          <w:rFonts w:ascii="仿宋" w:eastAsia="仿宋" w:hAnsi="仿宋" w:hint="eastAsia"/>
          <w:sz w:val="32"/>
          <w:szCs w:val="32"/>
        </w:rPr>
        <w:t>万元3、</w:t>
      </w:r>
      <w:r w:rsidR="005258CB">
        <w:rPr>
          <w:rFonts w:ascii="仿宋" w:eastAsia="仿宋" w:hAnsi="仿宋" w:hint="eastAsia"/>
          <w:sz w:val="32"/>
          <w:szCs w:val="32"/>
        </w:rPr>
        <w:t>阳春市价格认证中心（二级单位）</w:t>
      </w:r>
      <w:r w:rsidR="00FF1E01">
        <w:rPr>
          <w:rFonts w:ascii="仿宋" w:eastAsia="仿宋" w:hAnsi="仿宋" w:hint="eastAsia"/>
          <w:sz w:val="32"/>
          <w:szCs w:val="32"/>
        </w:rPr>
        <w:t>价格涉案鉴定费</w:t>
      </w:r>
      <w:r w:rsidR="008271DD">
        <w:rPr>
          <w:rFonts w:ascii="仿宋" w:eastAsia="仿宋" w:hAnsi="仿宋" w:hint="eastAsia"/>
          <w:sz w:val="32"/>
          <w:szCs w:val="32"/>
        </w:rPr>
        <w:t>预算收入</w:t>
      </w:r>
      <w:r w:rsidR="00FF1E01">
        <w:rPr>
          <w:rFonts w:ascii="仿宋" w:eastAsia="仿宋" w:hAnsi="仿宋" w:hint="eastAsia"/>
          <w:sz w:val="32"/>
          <w:szCs w:val="32"/>
        </w:rPr>
        <w:t>1</w:t>
      </w:r>
      <w:r w:rsidR="005258CB">
        <w:rPr>
          <w:rFonts w:ascii="仿宋" w:eastAsia="仿宋" w:hAnsi="仿宋" w:hint="eastAsia"/>
          <w:sz w:val="32"/>
          <w:szCs w:val="32"/>
        </w:rPr>
        <w:t>0万元</w:t>
      </w:r>
      <w:r w:rsidR="00A01BA8">
        <w:rPr>
          <w:rFonts w:ascii="仿宋" w:eastAsia="仿宋" w:hAnsi="仿宋" w:hint="eastAsia"/>
          <w:sz w:val="32"/>
          <w:szCs w:val="32"/>
        </w:rPr>
        <w:t>。4、粮食企业储备费等</w:t>
      </w:r>
      <w:r w:rsidR="008271DD">
        <w:rPr>
          <w:rFonts w:ascii="仿宋" w:eastAsia="仿宋" w:hAnsi="仿宋" w:hint="eastAsia"/>
          <w:sz w:val="32"/>
          <w:szCs w:val="32"/>
        </w:rPr>
        <w:t>预算收入</w:t>
      </w:r>
      <w:r w:rsidR="00A01BA8">
        <w:rPr>
          <w:rFonts w:ascii="仿宋" w:eastAsia="仿宋" w:hAnsi="仿宋" w:hint="eastAsia"/>
          <w:sz w:val="32"/>
          <w:szCs w:val="32"/>
        </w:rPr>
        <w:t>共1057.43万元，其中</w:t>
      </w:r>
      <w:r w:rsidR="00FF1E01">
        <w:rPr>
          <w:rFonts w:ascii="仿宋" w:eastAsia="仿宋" w:hAnsi="仿宋" w:hint="eastAsia"/>
          <w:sz w:val="32"/>
          <w:szCs w:val="32"/>
        </w:rPr>
        <w:t>储备粮贷款利息422.75万元，粮食储备费558万元，储备油保管检查费用及轮换亏损包干费用31.68万元，储备油贷款利息15万元，粮食企业部门离退休人员生活补贴30万元。</w:t>
      </w:r>
      <w:r w:rsidR="00FF1E01" w:rsidRPr="00EE13AA">
        <w:rPr>
          <w:rFonts w:ascii="仿宋" w:eastAsia="仿宋" w:hAnsi="仿宋" w:hint="eastAsia"/>
          <w:sz w:val="32"/>
          <w:szCs w:val="32"/>
        </w:rPr>
        <w:t xml:space="preserve"> </w:t>
      </w:r>
    </w:p>
    <w:p w:rsidR="00611E49" w:rsidRPr="00EE13AA" w:rsidRDefault="00611E49" w:rsidP="00EE13AA">
      <w:pPr>
        <w:ind w:firstLineChars="200" w:firstLine="643"/>
        <w:rPr>
          <w:rFonts w:ascii="仿宋" w:eastAsia="仿宋" w:hAnsi="仿宋"/>
          <w:b/>
          <w:sz w:val="32"/>
          <w:szCs w:val="32"/>
        </w:rPr>
      </w:pPr>
      <w:r w:rsidRPr="00EE13AA">
        <w:rPr>
          <w:rFonts w:ascii="仿宋" w:eastAsia="仿宋" w:hAnsi="仿宋" w:hint="eastAsia"/>
          <w:b/>
          <w:sz w:val="32"/>
          <w:szCs w:val="32"/>
        </w:rPr>
        <w:t>三、支出</w:t>
      </w:r>
      <w:r w:rsidR="00884EB4" w:rsidRPr="00EE13AA">
        <w:rPr>
          <w:rFonts w:ascii="仿宋" w:eastAsia="仿宋" w:hAnsi="仿宋" w:hint="eastAsia"/>
          <w:b/>
          <w:sz w:val="32"/>
          <w:szCs w:val="32"/>
        </w:rPr>
        <w:t>预</w:t>
      </w:r>
      <w:r w:rsidR="005E5DCB" w:rsidRPr="00EE13AA">
        <w:rPr>
          <w:rFonts w:ascii="仿宋" w:eastAsia="仿宋" w:hAnsi="仿宋" w:hint="eastAsia"/>
          <w:b/>
          <w:sz w:val="32"/>
          <w:szCs w:val="32"/>
        </w:rPr>
        <w:t>算</w:t>
      </w:r>
      <w:r w:rsidR="00A03A43">
        <w:rPr>
          <w:rFonts w:ascii="仿宋" w:eastAsia="仿宋" w:hAnsi="仿宋" w:hint="eastAsia"/>
          <w:b/>
          <w:sz w:val="32"/>
          <w:szCs w:val="32"/>
        </w:rPr>
        <w:t>说明</w:t>
      </w:r>
    </w:p>
    <w:p w:rsidR="00611E49" w:rsidRPr="00EE13AA" w:rsidRDefault="005258CB" w:rsidP="00EE13AA">
      <w:pPr>
        <w:ind w:firstLineChars="250" w:firstLine="800"/>
        <w:rPr>
          <w:rFonts w:ascii="仿宋" w:eastAsia="仿宋" w:hAnsi="仿宋"/>
          <w:color w:val="333333"/>
          <w:sz w:val="32"/>
          <w:szCs w:val="32"/>
        </w:rPr>
      </w:pPr>
      <w:r>
        <w:rPr>
          <w:rFonts w:ascii="仿宋" w:eastAsia="仿宋" w:hAnsi="仿宋" w:hint="eastAsia"/>
          <w:color w:val="333333"/>
          <w:sz w:val="32"/>
          <w:szCs w:val="32"/>
        </w:rPr>
        <w:t>2017</w:t>
      </w:r>
      <w:r w:rsidR="00611E49" w:rsidRPr="00EE13AA">
        <w:rPr>
          <w:rFonts w:ascii="仿宋" w:eastAsia="仿宋" w:hAnsi="仿宋" w:hint="eastAsia"/>
          <w:color w:val="333333"/>
          <w:sz w:val="32"/>
          <w:szCs w:val="32"/>
        </w:rPr>
        <w:t>年度部门预算支出</w:t>
      </w:r>
      <w:r w:rsidR="005A748D">
        <w:rPr>
          <w:rFonts w:ascii="仿宋" w:eastAsia="仿宋" w:hAnsi="仿宋" w:hint="eastAsia"/>
          <w:color w:val="333333"/>
          <w:sz w:val="32"/>
          <w:szCs w:val="32"/>
        </w:rPr>
        <w:t>1797</w:t>
      </w:r>
      <w:r w:rsidR="00611E49" w:rsidRPr="00EE13AA">
        <w:rPr>
          <w:rFonts w:ascii="仿宋" w:eastAsia="仿宋" w:hAnsi="仿宋" w:hint="eastAsia"/>
          <w:color w:val="333333"/>
          <w:sz w:val="32"/>
          <w:szCs w:val="32"/>
        </w:rPr>
        <w:t>万元，其中：</w:t>
      </w:r>
      <w:r w:rsidR="00A03A43">
        <w:rPr>
          <w:rFonts w:ascii="仿宋" w:eastAsia="仿宋" w:hAnsi="仿宋" w:hint="eastAsia"/>
          <w:color w:val="333333"/>
          <w:sz w:val="32"/>
          <w:szCs w:val="32"/>
        </w:rPr>
        <w:t>财政</w:t>
      </w:r>
      <w:r w:rsidR="00611E49" w:rsidRPr="00EE13AA">
        <w:rPr>
          <w:rFonts w:ascii="仿宋" w:eastAsia="仿宋" w:hAnsi="仿宋" w:hint="eastAsia"/>
          <w:color w:val="333333"/>
          <w:sz w:val="32"/>
          <w:szCs w:val="32"/>
        </w:rPr>
        <w:t>预算拨款支出</w:t>
      </w:r>
      <w:r w:rsidR="005A748D">
        <w:rPr>
          <w:rFonts w:ascii="仿宋" w:eastAsia="仿宋" w:hAnsi="仿宋" w:hint="eastAsia"/>
          <w:color w:val="333333"/>
          <w:sz w:val="32"/>
          <w:szCs w:val="32"/>
        </w:rPr>
        <w:t>1797</w:t>
      </w:r>
      <w:r w:rsidR="00611E49" w:rsidRPr="00EE13AA">
        <w:rPr>
          <w:rFonts w:ascii="仿宋" w:eastAsia="仿宋" w:hAnsi="仿宋" w:hint="eastAsia"/>
          <w:color w:val="333333"/>
          <w:sz w:val="32"/>
          <w:szCs w:val="32"/>
        </w:rPr>
        <w:t>万元。</w:t>
      </w:r>
    </w:p>
    <w:p w:rsidR="00FB592A" w:rsidRDefault="005A748D" w:rsidP="00FB592A">
      <w:pPr>
        <w:ind w:firstLineChars="250" w:firstLine="800"/>
        <w:rPr>
          <w:rFonts w:ascii="仿宋" w:eastAsia="仿宋" w:hAnsi="仿宋"/>
          <w:color w:val="333333"/>
          <w:sz w:val="32"/>
          <w:szCs w:val="32"/>
        </w:rPr>
      </w:pPr>
      <w:r>
        <w:rPr>
          <w:rFonts w:ascii="仿宋" w:eastAsia="仿宋" w:hAnsi="仿宋" w:hint="eastAsia"/>
          <w:color w:val="333333"/>
          <w:sz w:val="32"/>
          <w:szCs w:val="32"/>
        </w:rPr>
        <w:t>2017</w:t>
      </w:r>
      <w:r w:rsidR="00611E49" w:rsidRPr="00EE13AA">
        <w:rPr>
          <w:rFonts w:ascii="仿宋" w:eastAsia="仿宋" w:hAnsi="仿宋" w:hint="eastAsia"/>
          <w:color w:val="333333"/>
          <w:sz w:val="32"/>
          <w:szCs w:val="32"/>
        </w:rPr>
        <w:t>年支出预算按用途划分，基本支出</w:t>
      </w:r>
      <w:r w:rsidR="008271DD">
        <w:rPr>
          <w:rFonts w:ascii="仿宋" w:eastAsia="仿宋" w:hAnsi="仿宋" w:hint="eastAsia"/>
          <w:color w:val="333333"/>
          <w:sz w:val="32"/>
          <w:szCs w:val="32"/>
        </w:rPr>
        <w:t>725.57</w:t>
      </w:r>
      <w:r w:rsidR="00611E49" w:rsidRPr="00EE13AA">
        <w:rPr>
          <w:rFonts w:ascii="仿宋" w:eastAsia="仿宋" w:hAnsi="仿宋" w:hint="eastAsia"/>
          <w:color w:val="333333"/>
          <w:sz w:val="32"/>
          <w:szCs w:val="32"/>
        </w:rPr>
        <w:t>万元，占</w:t>
      </w:r>
      <w:r w:rsidR="003A70D2">
        <w:rPr>
          <w:rFonts w:ascii="仿宋" w:eastAsia="仿宋" w:hAnsi="仿宋" w:hint="eastAsia"/>
          <w:color w:val="333333"/>
          <w:sz w:val="32"/>
          <w:szCs w:val="32"/>
        </w:rPr>
        <w:t>40</w:t>
      </w:r>
      <w:r w:rsidR="00611E49" w:rsidRPr="00EE13AA">
        <w:rPr>
          <w:rFonts w:ascii="仿宋" w:eastAsia="仿宋" w:hAnsi="仿宋" w:hint="eastAsia"/>
          <w:color w:val="333333"/>
          <w:sz w:val="32"/>
          <w:szCs w:val="32"/>
        </w:rPr>
        <w:t>%，其中：工资福利支出</w:t>
      </w:r>
      <w:r w:rsidR="008271DD">
        <w:rPr>
          <w:rFonts w:ascii="仿宋" w:eastAsia="仿宋" w:hAnsi="仿宋" w:hint="eastAsia"/>
          <w:color w:val="333333"/>
          <w:sz w:val="32"/>
          <w:szCs w:val="32"/>
        </w:rPr>
        <w:t>376.44</w:t>
      </w:r>
      <w:r w:rsidR="00611E49" w:rsidRPr="00EE13AA">
        <w:rPr>
          <w:rFonts w:ascii="仿宋" w:eastAsia="仿宋" w:hAnsi="仿宋" w:hint="eastAsia"/>
          <w:color w:val="333333"/>
          <w:sz w:val="32"/>
          <w:szCs w:val="32"/>
        </w:rPr>
        <w:t>万元，对个人和家庭的补助</w:t>
      </w:r>
      <w:r w:rsidR="008271DD">
        <w:rPr>
          <w:rFonts w:ascii="仿宋" w:eastAsia="仿宋" w:hAnsi="仿宋" w:hint="eastAsia"/>
          <w:color w:val="333333"/>
          <w:sz w:val="32"/>
          <w:szCs w:val="32"/>
        </w:rPr>
        <w:t>286.49</w:t>
      </w:r>
      <w:r w:rsidR="00611E49" w:rsidRPr="00EE13AA">
        <w:rPr>
          <w:rFonts w:ascii="仿宋" w:eastAsia="仿宋" w:hAnsi="仿宋" w:hint="eastAsia"/>
          <w:color w:val="333333"/>
          <w:sz w:val="32"/>
          <w:szCs w:val="32"/>
        </w:rPr>
        <w:t>万元，商品和服务支出</w:t>
      </w:r>
      <w:r w:rsidR="008271DD">
        <w:rPr>
          <w:rFonts w:ascii="仿宋" w:eastAsia="仿宋" w:hAnsi="仿宋" w:hint="eastAsia"/>
          <w:color w:val="333333"/>
          <w:sz w:val="32"/>
          <w:szCs w:val="32"/>
        </w:rPr>
        <w:t>62.64</w:t>
      </w:r>
      <w:r w:rsidR="00611E49" w:rsidRPr="00EE13AA">
        <w:rPr>
          <w:rFonts w:ascii="仿宋" w:eastAsia="仿宋" w:hAnsi="仿宋" w:hint="eastAsia"/>
          <w:color w:val="333333"/>
          <w:sz w:val="32"/>
          <w:szCs w:val="32"/>
        </w:rPr>
        <w:t>万元</w:t>
      </w:r>
      <w:r w:rsidR="00884EB4" w:rsidRPr="00EE13AA">
        <w:rPr>
          <w:rFonts w:ascii="仿宋" w:eastAsia="仿宋" w:hAnsi="仿宋" w:hint="eastAsia"/>
          <w:color w:val="333333"/>
          <w:sz w:val="32"/>
          <w:szCs w:val="32"/>
        </w:rPr>
        <w:t>；</w:t>
      </w:r>
      <w:r w:rsidR="00A03A43">
        <w:rPr>
          <w:rFonts w:ascii="仿宋" w:eastAsia="仿宋" w:hAnsi="仿宋" w:hint="eastAsia"/>
          <w:color w:val="333333"/>
          <w:sz w:val="32"/>
          <w:szCs w:val="32"/>
        </w:rPr>
        <w:t>项目</w:t>
      </w:r>
      <w:r w:rsidR="00884EB4" w:rsidRPr="00EE13AA">
        <w:rPr>
          <w:rFonts w:ascii="仿宋" w:eastAsia="仿宋" w:hAnsi="仿宋" w:hint="eastAsia"/>
          <w:color w:val="333333"/>
          <w:sz w:val="32"/>
          <w:szCs w:val="32"/>
        </w:rPr>
        <w:t>支出</w:t>
      </w:r>
      <w:r w:rsidR="00A03A43">
        <w:rPr>
          <w:rFonts w:ascii="仿宋" w:eastAsia="仿宋" w:hAnsi="仿宋" w:hint="eastAsia"/>
          <w:color w:val="333333"/>
          <w:sz w:val="32"/>
          <w:szCs w:val="32"/>
        </w:rPr>
        <w:t>预算数</w:t>
      </w:r>
      <w:r w:rsidR="003A70D2">
        <w:rPr>
          <w:rFonts w:ascii="仿宋" w:eastAsia="仿宋" w:hAnsi="仿宋" w:hint="eastAsia"/>
          <w:color w:val="333333"/>
          <w:sz w:val="32"/>
          <w:szCs w:val="32"/>
        </w:rPr>
        <w:t>1071.43</w:t>
      </w:r>
      <w:r w:rsidR="00611E49" w:rsidRPr="00EE13AA">
        <w:rPr>
          <w:rFonts w:ascii="仿宋" w:eastAsia="仿宋" w:hAnsi="仿宋" w:hint="eastAsia"/>
          <w:color w:val="333333"/>
          <w:sz w:val="32"/>
          <w:szCs w:val="32"/>
        </w:rPr>
        <w:t>万元</w:t>
      </w:r>
      <w:r w:rsidR="00A03A43">
        <w:rPr>
          <w:rFonts w:ascii="仿宋" w:eastAsia="仿宋" w:hAnsi="仿宋" w:hint="eastAsia"/>
          <w:color w:val="333333"/>
          <w:sz w:val="32"/>
          <w:szCs w:val="32"/>
        </w:rPr>
        <w:t>，占</w:t>
      </w:r>
      <w:r w:rsidR="003A70D2">
        <w:rPr>
          <w:rFonts w:ascii="仿宋" w:eastAsia="仿宋" w:hAnsi="仿宋" w:hint="eastAsia"/>
          <w:color w:val="333333"/>
          <w:sz w:val="32"/>
          <w:szCs w:val="32"/>
        </w:rPr>
        <w:t>60</w:t>
      </w:r>
      <w:r w:rsidR="00FB592A">
        <w:rPr>
          <w:rFonts w:ascii="仿宋" w:eastAsia="仿宋" w:hAnsi="仿宋" w:hint="eastAsia"/>
          <w:color w:val="333333"/>
          <w:sz w:val="32"/>
          <w:szCs w:val="32"/>
        </w:rPr>
        <w:t>%</w:t>
      </w:r>
      <w:r w:rsidR="00611E49" w:rsidRPr="00EE13AA">
        <w:rPr>
          <w:rFonts w:ascii="仿宋" w:eastAsia="仿宋" w:hAnsi="仿宋" w:hint="eastAsia"/>
          <w:color w:val="333333"/>
          <w:sz w:val="32"/>
          <w:szCs w:val="32"/>
        </w:rPr>
        <w:t>。</w:t>
      </w:r>
    </w:p>
    <w:p w:rsidR="00FB592A" w:rsidRDefault="00FB592A" w:rsidP="00FB592A">
      <w:pPr>
        <w:ind w:firstLineChars="250" w:firstLine="800"/>
        <w:rPr>
          <w:rFonts w:ascii="仿宋" w:eastAsia="仿宋" w:hAnsi="仿宋"/>
          <w:color w:val="333333"/>
          <w:sz w:val="32"/>
          <w:szCs w:val="32"/>
        </w:rPr>
      </w:pPr>
    </w:p>
    <w:p w:rsidR="00611E49" w:rsidRPr="00FB592A" w:rsidRDefault="00884EB4" w:rsidP="00FB592A">
      <w:pPr>
        <w:ind w:firstLineChars="1500" w:firstLine="4800"/>
        <w:rPr>
          <w:rFonts w:ascii="仿宋" w:eastAsia="仿宋" w:hAnsi="仿宋"/>
          <w:color w:val="333333"/>
          <w:sz w:val="32"/>
          <w:szCs w:val="32"/>
        </w:rPr>
      </w:pPr>
      <w:r w:rsidRPr="00EE13AA">
        <w:rPr>
          <w:rFonts w:ascii="仿宋" w:eastAsia="仿宋" w:hAnsi="仿宋" w:hint="eastAsia"/>
          <w:sz w:val="32"/>
          <w:szCs w:val="32"/>
        </w:rPr>
        <w:t>阳春市发展和改革</w:t>
      </w:r>
      <w:r w:rsidR="00611E49" w:rsidRPr="00EE13AA">
        <w:rPr>
          <w:rFonts w:ascii="仿宋" w:eastAsia="仿宋" w:hAnsi="仿宋" w:hint="eastAsia"/>
          <w:color w:val="333333"/>
          <w:sz w:val="32"/>
          <w:szCs w:val="32"/>
        </w:rPr>
        <w:t>局</w:t>
      </w:r>
    </w:p>
    <w:sectPr w:rsidR="00611E49" w:rsidRPr="00FB592A" w:rsidSect="001A3FC1">
      <w:headerReference w:type="default" r:id="rId6"/>
      <w:footerReference w:type="even" r:id="rId7"/>
      <w:footerReference w:type="default" r:id="rId8"/>
      <w:pgSz w:w="11906" w:h="16838"/>
      <w:pgMar w:top="1246" w:right="1800" w:bottom="9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F66" w:rsidRDefault="00720F66">
      <w:r>
        <w:separator/>
      </w:r>
    </w:p>
  </w:endnote>
  <w:endnote w:type="continuationSeparator" w:id="1">
    <w:p w:rsidR="00720F66" w:rsidRDefault="00720F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F2F" w:rsidRDefault="008E00C5" w:rsidP="00D80272">
    <w:pPr>
      <w:pStyle w:val="a3"/>
      <w:framePr w:wrap="around" w:vAnchor="text" w:hAnchor="margin" w:xAlign="center" w:y="1"/>
      <w:rPr>
        <w:rStyle w:val="a4"/>
      </w:rPr>
    </w:pPr>
    <w:r>
      <w:rPr>
        <w:rStyle w:val="a4"/>
      </w:rPr>
      <w:fldChar w:fldCharType="begin"/>
    </w:r>
    <w:r w:rsidR="007B6F2F">
      <w:rPr>
        <w:rStyle w:val="a4"/>
      </w:rPr>
      <w:instrText xml:space="preserve">PAGE  </w:instrText>
    </w:r>
    <w:r>
      <w:rPr>
        <w:rStyle w:val="a4"/>
      </w:rPr>
      <w:fldChar w:fldCharType="end"/>
    </w:r>
  </w:p>
  <w:p w:rsidR="007B6F2F" w:rsidRDefault="007B6F2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F2F" w:rsidRDefault="008E00C5" w:rsidP="00D80272">
    <w:pPr>
      <w:pStyle w:val="a3"/>
      <w:framePr w:wrap="around" w:vAnchor="text" w:hAnchor="margin" w:xAlign="center" w:y="1"/>
      <w:rPr>
        <w:rStyle w:val="a4"/>
      </w:rPr>
    </w:pPr>
    <w:r>
      <w:rPr>
        <w:rStyle w:val="a4"/>
      </w:rPr>
      <w:fldChar w:fldCharType="begin"/>
    </w:r>
    <w:r w:rsidR="007B6F2F">
      <w:rPr>
        <w:rStyle w:val="a4"/>
      </w:rPr>
      <w:instrText xml:space="preserve">PAGE  </w:instrText>
    </w:r>
    <w:r>
      <w:rPr>
        <w:rStyle w:val="a4"/>
      </w:rPr>
      <w:fldChar w:fldCharType="separate"/>
    </w:r>
    <w:r w:rsidR="008271DD">
      <w:rPr>
        <w:rStyle w:val="a4"/>
        <w:noProof/>
      </w:rPr>
      <w:t>8</w:t>
    </w:r>
    <w:r>
      <w:rPr>
        <w:rStyle w:val="a4"/>
      </w:rPr>
      <w:fldChar w:fldCharType="end"/>
    </w:r>
  </w:p>
  <w:p w:rsidR="007B6F2F" w:rsidRDefault="007B6F2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F66" w:rsidRDefault="00720F66">
      <w:r>
        <w:separator/>
      </w:r>
    </w:p>
  </w:footnote>
  <w:footnote w:type="continuationSeparator" w:id="1">
    <w:p w:rsidR="00720F66" w:rsidRDefault="00720F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F2F" w:rsidRDefault="007B6F2F" w:rsidP="00450F2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643F"/>
    <w:rsid w:val="000404DD"/>
    <w:rsid w:val="000A072B"/>
    <w:rsid w:val="000A2A77"/>
    <w:rsid w:val="000A44BA"/>
    <w:rsid w:val="000C5545"/>
    <w:rsid w:val="000D2C0F"/>
    <w:rsid w:val="00120817"/>
    <w:rsid w:val="001422B3"/>
    <w:rsid w:val="001477E8"/>
    <w:rsid w:val="00172DE9"/>
    <w:rsid w:val="001925BE"/>
    <w:rsid w:val="001A3FC1"/>
    <w:rsid w:val="00202849"/>
    <w:rsid w:val="0020285F"/>
    <w:rsid w:val="00232F5A"/>
    <w:rsid w:val="00251A83"/>
    <w:rsid w:val="00264830"/>
    <w:rsid w:val="00273096"/>
    <w:rsid w:val="002A3A3C"/>
    <w:rsid w:val="002C0688"/>
    <w:rsid w:val="002E2D42"/>
    <w:rsid w:val="00323057"/>
    <w:rsid w:val="0033421F"/>
    <w:rsid w:val="00342893"/>
    <w:rsid w:val="0034453A"/>
    <w:rsid w:val="003477DB"/>
    <w:rsid w:val="00357573"/>
    <w:rsid w:val="003745E0"/>
    <w:rsid w:val="00387EED"/>
    <w:rsid w:val="003A70D2"/>
    <w:rsid w:val="003B01E5"/>
    <w:rsid w:val="003D08FF"/>
    <w:rsid w:val="004035F7"/>
    <w:rsid w:val="00415864"/>
    <w:rsid w:val="00432ECC"/>
    <w:rsid w:val="004362D8"/>
    <w:rsid w:val="00450F2B"/>
    <w:rsid w:val="00470CD3"/>
    <w:rsid w:val="004758F2"/>
    <w:rsid w:val="0048673F"/>
    <w:rsid w:val="004A3034"/>
    <w:rsid w:val="004A6489"/>
    <w:rsid w:val="004D26E5"/>
    <w:rsid w:val="004D69F5"/>
    <w:rsid w:val="004E6CF7"/>
    <w:rsid w:val="00504BED"/>
    <w:rsid w:val="005258CB"/>
    <w:rsid w:val="00553DE5"/>
    <w:rsid w:val="005825E4"/>
    <w:rsid w:val="0058426C"/>
    <w:rsid w:val="005A748D"/>
    <w:rsid w:val="005A7A2B"/>
    <w:rsid w:val="005C224C"/>
    <w:rsid w:val="005E5DCB"/>
    <w:rsid w:val="00611E49"/>
    <w:rsid w:val="00645F91"/>
    <w:rsid w:val="00661765"/>
    <w:rsid w:val="00667AC7"/>
    <w:rsid w:val="0067157C"/>
    <w:rsid w:val="006818B5"/>
    <w:rsid w:val="006B5E4E"/>
    <w:rsid w:val="006C27FA"/>
    <w:rsid w:val="006D7BB7"/>
    <w:rsid w:val="007143F7"/>
    <w:rsid w:val="00720F66"/>
    <w:rsid w:val="007228BF"/>
    <w:rsid w:val="0072510C"/>
    <w:rsid w:val="007308F8"/>
    <w:rsid w:val="00744FC0"/>
    <w:rsid w:val="0075640B"/>
    <w:rsid w:val="00756D93"/>
    <w:rsid w:val="007856AD"/>
    <w:rsid w:val="007B6F2F"/>
    <w:rsid w:val="007D5D5E"/>
    <w:rsid w:val="00811089"/>
    <w:rsid w:val="00826579"/>
    <w:rsid w:val="008271DD"/>
    <w:rsid w:val="008273E8"/>
    <w:rsid w:val="00835DD7"/>
    <w:rsid w:val="00844EE9"/>
    <w:rsid w:val="00884EB4"/>
    <w:rsid w:val="008B1B9E"/>
    <w:rsid w:val="008C419E"/>
    <w:rsid w:val="008D6A95"/>
    <w:rsid w:val="008E00C5"/>
    <w:rsid w:val="008E1A71"/>
    <w:rsid w:val="008F5C9F"/>
    <w:rsid w:val="00903185"/>
    <w:rsid w:val="00915A27"/>
    <w:rsid w:val="00922C2A"/>
    <w:rsid w:val="0092689D"/>
    <w:rsid w:val="009525C3"/>
    <w:rsid w:val="009A7B9E"/>
    <w:rsid w:val="009E3D3F"/>
    <w:rsid w:val="009F20AE"/>
    <w:rsid w:val="00A01BA8"/>
    <w:rsid w:val="00A03A43"/>
    <w:rsid w:val="00A463D2"/>
    <w:rsid w:val="00A7164F"/>
    <w:rsid w:val="00A74FA0"/>
    <w:rsid w:val="00A8729E"/>
    <w:rsid w:val="00AA3822"/>
    <w:rsid w:val="00AB33DB"/>
    <w:rsid w:val="00AB7A53"/>
    <w:rsid w:val="00AE40A4"/>
    <w:rsid w:val="00B14AA5"/>
    <w:rsid w:val="00B2405C"/>
    <w:rsid w:val="00B52981"/>
    <w:rsid w:val="00B54958"/>
    <w:rsid w:val="00B63247"/>
    <w:rsid w:val="00B8795F"/>
    <w:rsid w:val="00BD2521"/>
    <w:rsid w:val="00BE7B39"/>
    <w:rsid w:val="00BF5CAC"/>
    <w:rsid w:val="00C15FD1"/>
    <w:rsid w:val="00C52F0E"/>
    <w:rsid w:val="00C743D1"/>
    <w:rsid w:val="00C94F3D"/>
    <w:rsid w:val="00CA4499"/>
    <w:rsid w:val="00D15296"/>
    <w:rsid w:val="00D161EB"/>
    <w:rsid w:val="00D64880"/>
    <w:rsid w:val="00D66463"/>
    <w:rsid w:val="00D670B7"/>
    <w:rsid w:val="00D72326"/>
    <w:rsid w:val="00D74D30"/>
    <w:rsid w:val="00D80272"/>
    <w:rsid w:val="00D872CF"/>
    <w:rsid w:val="00DA57F9"/>
    <w:rsid w:val="00DC541B"/>
    <w:rsid w:val="00DD7B56"/>
    <w:rsid w:val="00DD7CF3"/>
    <w:rsid w:val="00DF168C"/>
    <w:rsid w:val="00E12E08"/>
    <w:rsid w:val="00E137C7"/>
    <w:rsid w:val="00E139EE"/>
    <w:rsid w:val="00E21ACD"/>
    <w:rsid w:val="00E2643F"/>
    <w:rsid w:val="00E416B1"/>
    <w:rsid w:val="00E429FD"/>
    <w:rsid w:val="00E44160"/>
    <w:rsid w:val="00E63213"/>
    <w:rsid w:val="00EE0DF8"/>
    <w:rsid w:val="00EE13AA"/>
    <w:rsid w:val="00F3401C"/>
    <w:rsid w:val="00F40818"/>
    <w:rsid w:val="00F80DE0"/>
    <w:rsid w:val="00FA6979"/>
    <w:rsid w:val="00FB592A"/>
    <w:rsid w:val="00FE63DC"/>
    <w:rsid w:val="00FF1E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00C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2643F"/>
    <w:pPr>
      <w:tabs>
        <w:tab w:val="center" w:pos="4153"/>
        <w:tab w:val="right" w:pos="8306"/>
      </w:tabs>
      <w:snapToGrid w:val="0"/>
      <w:jc w:val="left"/>
    </w:pPr>
    <w:rPr>
      <w:sz w:val="18"/>
      <w:szCs w:val="18"/>
    </w:rPr>
  </w:style>
  <w:style w:type="character" w:styleId="a4">
    <w:name w:val="page number"/>
    <w:basedOn w:val="a0"/>
    <w:rsid w:val="00E2643F"/>
  </w:style>
  <w:style w:type="paragraph" w:styleId="a5">
    <w:name w:val="header"/>
    <w:basedOn w:val="a"/>
    <w:rsid w:val="001477E8"/>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divs>
    <w:div w:id="1475834935">
      <w:bodyDiv w:val="1"/>
      <w:marLeft w:val="0"/>
      <w:marRight w:val="0"/>
      <w:marTop w:val="0"/>
      <w:marBottom w:val="0"/>
      <w:divBdr>
        <w:top w:val="none" w:sz="0" w:space="0" w:color="auto"/>
        <w:left w:val="none" w:sz="0" w:space="0" w:color="auto"/>
        <w:bottom w:val="none" w:sz="0" w:space="0" w:color="auto"/>
        <w:right w:val="none" w:sz="0" w:space="0" w:color="auto"/>
      </w:divBdr>
    </w:div>
    <w:div w:id="213250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622</Words>
  <Characters>3550</Characters>
  <Application>Microsoft Office Word</Application>
  <DocSecurity>0</DocSecurity>
  <Lines>29</Lines>
  <Paragraphs>8</Paragraphs>
  <ScaleCrop>false</ScaleCrop>
  <Company>联想中国</Company>
  <LinksUpToDate>false</LinksUpToDate>
  <CharactersWithSpaces>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阳江市财政局各职能</dc:title>
  <dc:creator>User</dc:creator>
  <cp:lastModifiedBy>yangchun</cp:lastModifiedBy>
  <cp:revision>13</cp:revision>
  <cp:lastPrinted>2016-11-10T08:31:00Z</cp:lastPrinted>
  <dcterms:created xsi:type="dcterms:W3CDTF">2017-09-13T08:06:00Z</dcterms:created>
  <dcterms:modified xsi:type="dcterms:W3CDTF">2017-09-14T01:30:00Z</dcterms:modified>
</cp:coreProperties>
</file>