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4F7C8">
      <w:pPr>
        <w:spacing w:line="560" w:lineRule="exact"/>
        <w:jc w:val="center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阳春市文化广电旅游体育局部门整体预算</w:t>
      </w:r>
    </w:p>
    <w:p w14:paraId="0A8FC3A5"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申请绩效报告</w:t>
      </w:r>
    </w:p>
    <w:p w14:paraId="04BA3EA6">
      <w:pPr>
        <w:spacing w:line="560" w:lineRule="exact"/>
        <w:jc w:val="center"/>
        <w:rPr>
          <w:rFonts w:ascii="仿宋_GB2312" w:eastAsia="仿宋_GB2312"/>
          <w:sz w:val="32"/>
        </w:rPr>
      </w:pPr>
    </w:p>
    <w:p w14:paraId="3A903AD9">
      <w:pPr>
        <w:spacing w:line="560" w:lineRule="exact"/>
        <w:ind w:firstLine="640" w:firstLineChars="200"/>
        <w:rPr>
          <w:rFonts w:ascii="方正小标宋简体" w:eastAsia="方正小标宋简体"/>
          <w:sz w:val="32"/>
        </w:rPr>
      </w:pPr>
      <w:r>
        <w:rPr>
          <w:rFonts w:hint="eastAsia" w:ascii="方正小标宋简体" w:eastAsia="方正小标宋简体"/>
          <w:sz w:val="32"/>
        </w:rPr>
        <w:t>一、基本情况</w:t>
      </w:r>
    </w:p>
    <w:p w14:paraId="473452DF">
      <w:pPr>
        <w:spacing w:line="560" w:lineRule="exact"/>
        <w:ind w:firstLine="640" w:firstLineChars="200"/>
        <w:rPr>
          <w:rFonts w:hint="eastAsia" w:ascii="楷体" w:hAnsi="楷体" w:eastAsia="楷体" w:cs="楷体"/>
          <w:sz w:val="32"/>
        </w:rPr>
      </w:pPr>
      <w:r>
        <w:rPr>
          <w:rFonts w:hint="eastAsia" w:ascii="楷体" w:hAnsi="楷体" w:eastAsia="楷体" w:cs="楷体"/>
          <w:sz w:val="32"/>
        </w:rPr>
        <w:t>（一）2024年部门整体绩效目标实现情况。</w:t>
      </w:r>
    </w:p>
    <w:p w14:paraId="63AEEDF2">
      <w:pPr>
        <w:pStyle w:val="4"/>
        <w:numPr>
          <w:ilvl w:val="0"/>
          <w:numId w:val="1"/>
        </w:numPr>
        <w:shd w:val="clear" w:color="auto" w:fill="FFFFFF"/>
        <w:wordWrap w:val="0"/>
        <w:spacing w:before="0" w:beforeAutospacing="0" w:after="120" w:afterAutospacing="0" w:line="432" w:lineRule="atLeast"/>
        <w:ind w:firstLine="640" w:firstLineChars="200"/>
        <w:rPr>
          <w:rFonts w:ascii="仿宋_GB2312" w:hAnsi="华文仿宋" w:eastAsia="仿宋_GB2312" w:cs="仿宋_GB2312"/>
          <w:kern w:val="2"/>
          <w:sz w:val="32"/>
          <w:szCs w:val="32"/>
        </w:rPr>
      </w:pP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做好文化传承和惠民工作。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一是深挖阳春文化内涵。坚持以文塑旅、以旅彰文，加强对阳春文化、漠阳文化和高凉文化等各类文化的研究和梳理，依托高流河墟打造非遗文化竹器生态博览园，精心举办梁镇南将军府炮会、高流河千年古墟系列文化活动等民俗非遗文化活动，吸引大湾区等地区游客约63万人，带动掀起餐饮、交通、住宿、娱乐等行业消费热潮。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二是丰富公共文化惠民活动。2024年共开展阳春粤剧“送戏下乡”活动32场；举办线上线下书画艺术相关展览40场次；举办各类演出活动77场次；还举办各类培训班、亲子阅读活动等各类公益活动；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办好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“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龙腾欢歌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·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锦绣阳春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”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2024年春节无人机灯光秀烟花晚会、2024年迎中秋、庆丰收、贺国庆系列活动等各类演出69场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。</w:t>
      </w:r>
    </w:p>
    <w:p w14:paraId="5A8947AC">
      <w:pPr>
        <w:pStyle w:val="4"/>
        <w:numPr>
          <w:ilvl w:val="0"/>
          <w:numId w:val="1"/>
        </w:numPr>
        <w:shd w:val="clear" w:color="auto" w:fill="FFFFFF"/>
        <w:wordWrap w:val="0"/>
        <w:spacing w:before="0" w:beforeAutospacing="0" w:after="120" w:afterAutospacing="0" w:line="432" w:lineRule="atLeast"/>
        <w:ind w:left="0" w:leftChars="0" w:firstLine="640" w:firstLineChars="200"/>
        <w:rPr>
          <w:rFonts w:ascii="仿宋_GB2312" w:hAnsi="华文仿宋" w:eastAsia="仿宋_GB2312" w:cs="仿宋_GB2312"/>
          <w:kern w:val="2"/>
          <w:sz w:val="32"/>
          <w:szCs w:val="32"/>
        </w:rPr>
      </w:pP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做好广电管理工作。一是做好2024年安全播出、广播电视设施保护工作各项填报工作。抓好重保期期间广播电视安全播出保障专项工作。二是抓好市委、市政府中心工作的宣传，营造了良好的舆论氛围。</w:t>
      </w:r>
    </w:p>
    <w:p w14:paraId="4D425501">
      <w:pPr>
        <w:pStyle w:val="4"/>
        <w:numPr>
          <w:ilvl w:val="0"/>
          <w:numId w:val="1"/>
        </w:numPr>
        <w:shd w:val="clear" w:color="auto" w:fill="FFFFFF"/>
        <w:wordWrap w:val="0"/>
        <w:spacing w:before="0" w:beforeAutospacing="0" w:after="120" w:afterAutospacing="0" w:line="432" w:lineRule="atLeast"/>
        <w:ind w:left="0" w:leftChars="0" w:firstLine="640" w:firstLineChars="200"/>
        <w:rPr>
          <w:rFonts w:ascii="仿宋_GB2312" w:hAnsi="华文仿宋" w:eastAsia="仿宋_GB2312" w:cs="仿宋_GB2312"/>
          <w:kern w:val="2"/>
          <w:sz w:val="32"/>
          <w:szCs w:val="32"/>
        </w:rPr>
      </w:pP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推进文化旅游产业发展。一是打造旅游品牌。崆峒岩景区、高村乡村旅游区、潭簕红色展馆旅游区被评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为国家3A级旅游景区。新增岗美镇、春湾镇2个省文化和旅游特色镇（入库级），合水镇高河村被评为省文化和旅游特色村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，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2家乡村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酒店民宿获评省级“金字招牌”。二是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有效整合全市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文化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旅游资源。做好旅游资源普查工作，共统计资源点555个，其中五级资源8个、四级资源20个。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三是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精心打造旅游精品线路。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“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阳春农文旅融合研学之旅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”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被评为2024阳江市研学旅游十大精品线路，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“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红色热土 多彩春州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”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、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“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铭记历史 砥砺前行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”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等红色线路被评为市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“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粤游粤红——第二届广东红色旅游季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”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红色旅游精品线路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，已建成竹文化·春风竹里（高流河墟）等乡村游主题驿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站6个。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四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是大力发展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“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影视+旅游</w:t>
      </w:r>
      <w:r>
        <w:rPr>
          <w:rFonts w:hint="eastAsia" w:ascii="仿宋_GB2312" w:hAnsi="华文仿宋" w:eastAsia="仿宋_GB2312" w:cs="仿宋_GB2312"/>
          <w:kern w:val="2"/>
          <w:sz w:val="32"/>
          <w:szCs w:val="32"/>
        </w:rPr>
        <w:t>”</w:t>
      </w:r>
      <w:r>
        <w:rPr>
          <w:rFonts w:ascii="仿宋_GB2312" w:hAnsi="华文仿宋" w:eastAsia="仿宋_GB2312" w:cs="仿宋_GB2312"/>
          <w:kern w:val="2"/>
          <w:sz w:val="32"/>
          <w:szCs w:val="32"/>
        </w:rPr>
        <w:t>新业态。吸引《韦驮门》、《长安的荔枝》等影视作品前来拍摄取景，助力阳春文旅事业取得发展新亮点。</w:t>
      </w:r>
    </w:p>
    <w:p w14:paraId="48F87658">
      <w:pPr>
        <w:numPr>
          <w:ilvl w:val="0"/>
          <w:numId w:val="1"/>
        </w:numPr>
        <w:spacing w:line="560" w:lineRule="exact"/>
        <w:ind w:left="0" w:leftChars="0"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仿宋_GB2312" w:hAnsi="华文仿宋" w:eastAsia="仿宋_GB2312" w:cs="仿宋_GB2312"/>
          <w:sz w:val="32"/>
          <w:szCs w:val="32"/>
        </w:rPr>
        <w:t>体育事业稳步推进。一是办好各大体育赛事。组织举办了庆新春醒狮巡游表演、象棋赛、乒乓球赛、羽毛球赛、足球赛、篮球赛、趣味运动会和领导干部运动会等赛事，成功主办或承办杜鹃花海·阳春鸡笼顶越野赛、省龙舟锦标赛、省航海模型公开赛、南粤古驿道定向大赛（阳江·阳春站）等大型体育赛事。二是</w:t>
      </w:r>
      <w:r>
        <w:rPr>
          <w:rFonts w:ascii="仿宋_GB2312" w:hAnsi="华文仿宋" w:eastAsia="仿宋_GB2312" w:cs="仿宋_GB2312"/>
          <w:sz w:val="32"/>
          <w:szCs w:val="32"/>
        </w:rPr>
        <w:t>输送优秀体育人才。</w:t>
      </w:r>
      <w:r>
        <w:rPr>
          <w:rFonts w:hint="eastAsia" w:ascii="仿宋_GB2312" w:hAnsi="华文仿宋" w:eastAsia="仿宋_GB2312" w:cs="仿宋_GB2312"/>
          <w:sz w:val="32"/>
          <w:szCs w:val="32"/>
        </w:rPr>
        <w:t>阳春籍运动员郭清在2024年巴黎奥运会夺得银牌，实现阳江夏季奥运会奖牌“零”的突破，麦建朋在巴黎残奥会夺得金牌。三是进一步完善基层体育设施建设。对市区公共体育场所健身器材开展安全隐患大排查，对检查出的损坏器材及时维修、拆除、更换，及时消除了安全隐患，确保器材使用安全。四是组织开展2024年国民体质监测工作，完成省下达测定任务。</w:t>
      </w:r>
    </w:p>
    <w:p w14:paraId="63BD46E7">
      <w:pPr>
        <w:spacing w:line="560" w:lineRule="exact"/>
        <w:ind w:firstLine="640" w:firstLineChars="200"/>
        <w:rPr>
          <w:rFonts w:hint="eastAsia" w:ascii="楷体" w:hAnsi="楷体" w:eastAsia="楷体" w:cs="楷体"/>
          <w:sz w:val="32"/>
        </w:rPr>
      </w:pPr>
      <w:r>
        <w:rPr>
          <w:rFonts w:hint="eastAsia" w:ascii="楷体" w:hAnsi="楷体" w:eastAsia="楷体" w:cs="楷体"/>
          <w:sz w:val="32"/>
        </w:rPr>
        <w:t>（二）2025年度部门整体预算绩效目标。</w:t>
      </w:r>
    </w:p>
    <w:p w14:paraId="5B0A32D2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2024</w:t>
      </w:r>
      <w:r>
        <w:rPr>
          <w:rFonts w:hint="eastAsia" w:ascii="仿宋_GB2312" w:hAnsi="Times New Roman" w:eastAsia="仿宋_GB2312"/>
          <w:sz w:val="32"/>
          <w:szCs w:val="32"/>
        </w:rPr>
        <w:t>年，</w:t>
      </w:r>
      <w:r>
        <w:rPr>
          <w:rFonts w:ascii="仿宋_GB2312" w:hAnsi="Times New Roman" w:eastAsia="仿宋_GB2312"/>
          <w:sz w:val="32"/>
          <w:szCs w:val="32"/>
        </w:rPr>
        <w:t>围绕市委市政府的重要决策部署，</w:t>
      </w:r>
      <w:r>
        <w:rPr>
          <w:rFonts w:hint="eastAsia" w:ascii="仿宋_GB2312" w:hAnsi="Times New Roman" w:eastAsia="仿宋_GB2312"/>
          <w:sz w:val="32"/>
          <w:szCs w:val="32"/>
        </w:rPr>
        <w:t>我局将进一步加强</w:t>
      </w:r>
      <w:r>
        <w:rPr>
          <w:rFonts w:ascii="仿宋_GB2312" w:hAnsi="Times New Roman" w:eastAsia="仿宋_GB2312"/>
          <w:sz w:val="32"/>
          <w:szCs w:val="32"/>
        </w:rPr>
        <w:t>公共</w:t>
      </w:r>
      <w:r>
        <w:rPr>
          <w:rFonts w:hint="eastAsia" w:ascii="仿宋_GB2312" w:hAnsi="Times New Roman" w:eastAsia="仿宋_GB2312"/>
          <w:sz w:val="32"/>
          <w:szCs w:val="32"/>
        </w:rPr>
        <w:t>文化</w:t>
      </w:r>
      <w:r>
        <w:rPr>
          <w:rFonts w:ascii="仿宋_GB2312" w:hAnsi="Times New Roman" w:eastAsia="仿宋_GB2312"/>
          <w:sz w:val="32"/>
          <w:szCs w:val="32"/>
        </w:rPr>
        <w:t>服务</w:t>
      </w:r>
      <w:r>
        <w:rPr>
          <w:rFonts w:hint="eastAsia" w:ascii="仿宋_GB2312" w:hAnsi="Times New Roman" w:eastAsia="仿宋_GB2312"/>
          <w:sz w:val="32"/>
          <w:szCs w:val="32"/>
        </w:rPr>
        <w:t>建设</w:t>
      </w:r>
      <w:r>
        <w:rPr>
          <w:rFonts w:ascii="仿宋_GB2312" w:hAnsi="Times New Roman" w:eastAsia="仿宋_GB2312"/>
          <w:sz w:val="32"/>
          <w:szCs w:val="32"/>
        </w:rPr>
        <w:t>和</w:t>
      </w:r>
      <w:r>
        <w:rPr>
          <w:rFonts w:hint="eastAsia" w:ascii="仿宋_GB2312" w:hAnsi="Times New Roman" w:eastAsia="仿宋_GB2312"/>
          <w:sz w:val="32"/>
          <w:szCs w:val="32"/>
        </w:rPr>
        <w:t>推进广电、体育事业发展</w:t>
      </w:r>
      <w:r>
        <w:rPr>
          <w:rFonts w:ascii="仿宋_GB2312" w:hAnsi="Times New Roman" w:eastAsia="仿宋_GB2312"/>
          <w:sz w:val="32"/>
          <w:szCs w:val="32"/>
        </w:rPr>
        <w:t>，</w:t>
      </w:r>
      <w:r>
        <w:rPr>
          <w:rFonts w:hint="eastAsia" w:ascii="仿宋_GB2312" w:hAnsi="Times New Roman" w:eastAsia="仿宋_GB2312"/>
          <w:sz w:val="32"/>
          <w:szCs w:val="32"/>
        </w:rPr>
        <w:t>加强旅游基础设施建设，努力将旅游业发展成为阳春的经济支柱产业，以较小的财政投入争取更大的社会效益和经济效益</w:t>
      </w:r>
      <w:r>
        <w:rPr>
          <w:rFonts w:ascii="仿宋_GB2312" w:hAnsi="Times New Roman" w:eastAsia="仿宋_GB2312"/>
          <w:sz w:val="32"/>
          <w:szCs w:val="32"/>
        </w:rPr>
        <w:t>。</w:t>
      </w:r>
    </w:p>
    <w:p w14:paraId="78E5FAC6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hint="eastAsia" w:ascii="仿宋_GB2312" w:hAnsi="Times New Roman" w:eastAsia="仿宋_GB2312"/>
          <w:sz w:val="32"/>
          <w:szCs w:val="32"/>
        </w:rPr>
        <w:t>目标</w:t>
      </w: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hint="eastAsia" w:ascii="仿宋_GB2312" w:hAnsi="Times New Roman" w:eastAsia="仿宋_GB2312"/>
          <w:sz w:val="32"/>
          <w:szCs w:val="32"/>
        </w:rPr>
        <w:t>：统筹推进全市公共文化服务体系和旅游公共服务建设，组织、协调和指导市重点和基层文化广电旅游体育设施建设，管理全市性重大文化体育活动，实施文化惠民工程，开展相关公共服务。</w:t>
      </w:r>
    </w:p>
    <w:p w14:paraId="47A21D7C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hint="eastAsia" w:ascii="仿宋_GB2312" w:hAnsi="Times New Roman" w:eastAsia="仿宋_GB2312"/>
          <w:sz w:val="32"/>
          <w:szCs w:val="32"/>
        </w:rPr>
        <w:t>目标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hint="eastAsia" w:ascii="仿宋_GB2312" w:hAnsi="Times New Roman" w:eastAsia="仿宋_GB2312"/>
          <w:sz w:val="32"/>
          <w:szCs w:val="32"/>
        </w:rPr>
        <w:t>：推进物质文化遗产保护、利用，组织实施非物质文化遗产保护、传承、普及、弘扬振兴工作。</w:t>
      </w:r>
    </w:p>
    <w:p w14:paraId="523B30EC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目标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hint="eastAsia" w:ascii="仿宋_GB2312" w:hAnsi="Times New Roman" w:eastAsia="仿宋_GB2312"/>
          <w:sz w:val="32"/>
          <w:szCs w:val="32"/>
        </w:rPr>
        <w:t>：做好阳春旅游整体打造和宣传推广，指导、推进全域旅游工作，实施旅游信息化建设。开展旅游市场开发，加强旅游基础设施建设，积极开展旅游招商引资，发展旅游经济。</w:t>
      </w:r>
    </w:p>
    <w:p w14:paraId="01DED6D6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目标</w:t>
      </w:r>
      <w:r>
        <w:rPr>
          <w:rFonts w:hint="eastAsia" w:ascii="Times New Roman" w:hAnsi="Times New Roman" w:eastAsia="仿宋_GB2312"/>
          <w:sz w:val="32"/>
          <w:szCs w:val="32"/>
        </w:rPr>
        <w:t>4</w:t>
      </w:r>
      <w:r>
        <w:rPr>
          <w:rFonts w:hint="eastAsia" w:ascii="仿宋_GB2312" w:hAnsi="Times New Roman" w:eastAsia="仿宋_GB2312"/>
          <w:sz w:val="32"/>
          <w:szCs w:val="32"/>
        </w:rPr>
        <w:t>：做好全市全民健身工作，指导并开展群众性体育活动，组织指导国民体质监测；统筹全市竞技体育发展，组织指导监督体育训练竞赛工作。</w:t>
      </w:r>
    </w:p>
    <w:p w14:paraId="362C0CE9">
      <w:pPr>
        <w:spacing w:line="560" w:lineRule="exact"/>
        <w:ind w:firstLine="640" w:firstLineChars="200"/>
        <w:rPr>
          <w:rFonts w:hint="eastAsia" w:ascii="楷体" w:hAnsi="楷体" w:eastAsia="楷体" w:cs="楷体"/>
          <w:sz w:val="32"/>
        </w:rPr>
      </w:pPr>
      <w:r>
        <w:rPr>
          <w:rFonts w:hint="eastAsia" w:ascii="楷体" w:hAnsi="楷体" w:eastAsia="楷体" w:cs="楷体"/>
          <w:sz w:val="32"/>
        </w:rPr>
        <w:t>（三）2025年预算资金情况。</w:t>
      </w:r>
    </w:p>
    <w:p w14:paraId="2D61965C">
      <w:pPr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</w:rPr>
        <w:t>2025</w:t>
      </w:r>
      <w:r>
        <w:rPr>
          <w:rFonts w:hint="eastAsia" w:ascii="仿宋_GB2312" w:hAnsi="Times New Roman" w:eastAsia="仿宋_GB2312"/>
          <w:sz w:val="30"/>
          <w:szCs w:val="30"/>
        </w:rPr>
        <w:t>年我局财政收支预算共</w:t>
      </w:r>
      <w:r>
        <w:rPr>
          <w:rFonts w:hint="eastAsia" w:ascii="Times New Roman" w:hAnsi="Times New Roman" w:eastAsia="仿宋_GB2312"/>
          <w:sz w:val="30"/>
          <w:szCs w:val="30"/>
        </w:rPr>
        <w:t>4472.85</w:t>
      </w:r>
      <w:r>
        <w:rPr>
          <w:rFonts w:hint="eastAsia" w:ascii="仿宋_GB2312" w:hAnsi="Times New Roman" w:eastAsia="仿宋_GB2312"/>
          <w:sz w:val="30"/>
          <w:szCs w:val="30"/>
        </w:rPr>
        <w:t>万元。其中一般公共预算收支</w:t>
      </w:r>
      <w:r>
        <w:rPr>
          <w:rFonts w:hint="eastAsia" w:ascii="Times New Roman" w:hAnsi="Times New Roman" w:eastAsia="仿宋_GB2312"/>
          <w:sz w:val="30"/>
          <w:szCs w:val="30"/>
        </w:rPr>
        <w:t>3594.85</w:t>
      </w:r>
      <w:r>
        <w:rPr>
          <w:rFonts w:hint="eastAsia" w:ascii="仿宋_GB2312" w:hAnsi="Times New Roman" w:eastAsia="仿宋_GB2312"/>
          <w:sz w:val="30"/>
          <w:szCs w:val="30"/>
        </w:rPr>
        <w:t>万元，政府性基金预算收支</w:t>
      </w:r>
      <w:r>
        <w:rPr>
          <w:rFonts w:hint="eastAsia" w:ascii="Times New Roman" w:hAnsi="Times New Roman" w:eastAsia="仿宋_GB2312"/>
          <w:sz w:val="30"/>
          <w:szCs w:val="30"/>
        </w:rPr>
        <w:t>878</w:t>
      </w:r>
      <w:r>
        <w:rPr>
          <w:rFonts w:hint="eastAsia" w:ascii="仿宋_GB2312" w:hAnsi="Times New Roman" w:eastAsia="仿宋_GB2312"/>
          <w:sz w:val="30"/>
          <w:szCs w:val="30"/>
        </w:rPr>
        <w:t>万元。</w:t>
      </w:r>
    </w:p>
    <w:p w14:paraId="030F94A2">
      <w:pPr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一般公共预算中基本收支</w:t>
      </w:r>
      <w:r>
        <w:rPr>
          <w:rFonts w:hint="eastAsia" w:ascii="Times New Roman" w:hAnsi="Times New Roman" w:eastAsia="仿宋_GB2312"/>
          <w:sz w:val="30"/>
          <w:szCs w:val="30"/>
        </w:rPr>
        <w:t>1678.67</w:t>
      </w:r>
      <w:r>
        <w:rPr>
          <w:rFonts w:hint="eastAsia" w:ascii="仿宋_GB2312" w:hAnsi="Times New Roman" w:eastAsia="仿宋_GB2312"/>
          <w:sz w:val="30"/>
          <w:szCs w:val="30"/>
        </w:rPr>
        <w:t>万元，其中人员收支1634.69万元，公用经费收支</w:t>
      </w:r>
      <w:r>
        <w:rPr>
          <w:rFonts w:hint="eastAsia" w:ascii="Times New Roman" w:hAnsi="Times New Roman" w:eastAsia="仿宋_GB2312"/>
          <w:sz w:val="30"/>
          <w:szCs w:val="30"/>
        </w:rPr>
        <w:t>46.98</w:t>
      </w:r>
      <w:r>
        <w:rPr>
          <w:rFonts w:hint="eastAsia" w:ascii="仿宋_GB2312" w:hAnsi="Times New Roman" w:eastAsia="仿宋_GB2312"/>
          <w:sz w:val="30"/>
          <w:szCs w:val="30"/>
        </w:rPr>
        <w:t>万元；一般公共预算中项目收支1916.18万元，主要项目有：阳春市旅游产业扶持专项资金</w:t>
      </w:r>
      <w:r>
        <w:rPr>
          <w:rFonts w:hint="eastAsia" w:ascii="Times New Roman" w:hAnsi="Times New Roman" w:eastAsia="仿宋_GB2312"/>
          <w:sz w:val="30"/>
          <w:szCs w:val="30"/>
        </w:rPr>
        <w:t>1500</w:t>
      </w:r>
      <w:r>
        <w:rPr>
          <w:rFonts w:hint="eastAsia" w:ascii="仿宋_GB2312" w:hAnsi="Times New Roman" w:eastAsia="仿宋_GB2312"/>
          <w:sz w:val="30"/>
          <w:szCs w:val="30"/>
        </w:rPr>
        <w:t>万元、图书馆、文化馆总分馆运行经费</w:t>
      </w:r>
      <w:r>
        <w:rPr>
          <w:rFonts w:hint="eastAsia" w:ascii="Times New Roman" w:hAnsi="Times New Roman" w:eastAsia="仿宋_GB2312"/>
          <w:sz w:val="30"/>
          <w:szCs w:val="30"/>
        </w:rPr>
        <w:t>55</w:t>
      </w:r>
      <w:r>
        <w:rPr>
          <w:rFonts w:hint="eastAsia" w:ascii="仿宋_GB2312" w:hAnsi="Times New Roman" w:eastAsia="仿宋_GB2312"/>
          <w:sz w:val="30"/>
          <w:szCs w:val="30"/>
        </w:rPr>
        <w:t>万元、三馆一站免费开放经费</w:t>
      </w:r>
      <w:r>
        <w:rPr>
          <w:rFonts w:hint="eastAsia" w:ascii="Times New Roman" w:hAnsi="Times New Roman" w:eastAsia="仿宋_GB2312"/>
          <w:sz w:val="30"/>
          <w:szCs w:val="30"/>
        </w:rPr>
        <w:t>40</w:t>
      </w:r>
      <w:r>
        <w:rPr>
          <w:rFonts w:hint="eastAsia" w:ascii="仿宋_GB2312" w:hAnsi="Times New Roman" w:eastAsia="仿宋_GB2312"/>
          <w:sz w:val="30"/>
          <w:szCs w:val="30"/>
        </w:rPr>
        <w:t>万元等。</w:t>
      </w:r>
    </w:p>
    <w:p w14:paraId="53B21747">
      <w:pPr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政府性基金预算收支中项目收支</w:t>
      </w:r>
      <w:r>
        <w:rPr>
          <w:rFonts w:hint="eastAsia" w:ascii="Times New Roman" w:hAnsi="Times New Roman" w:eastAsia="仿宋_GB2312"/>
          <w:sz w:val="30"/>
          <w:szCs w:val="30"/>
        </w:rPr>
        <w:t>878</w:t>
      </w:r>
      <w:r>
        <w:rPr>
          <w:rFonts w:hint="eastAsia" w:ascii="仿宋_GB2312" w:hAnsi="Times New Roman" w:eastAsia="仿宋_GB2312"/>
          <w:sz w:val="30"/>
          <w:szCs w:val="30"/>
        </w:rPr>
        <w:t>万元，主要项目有：村级健身广场体育器材购置</w:t>
      </w:r>
      <w:r>
        <w:rPr>
          <w:rFonts w:hint="eastAsia" w:ascii="Times New Roman" w:hAnsi="Times New Roman" w:eastAsia="仿宋_GB2312"/>
          <w:sz w:val="30"/>
          <w:szCs w:val="30"/>
        </w:rPr>
        <w:t>100</w:t>
      </w:r>
      <w:r>
        <w:rPr>
          <w:rFonts w:hint="eastAsia" w:ascii="仿宋_GB2312" w:hAnsi="Times New Roman" w:eastAsia="仿宋_GB2312"/>
          <w:sz w:val="30"/>
          <w:szCs w:val="30"/>
        </w:rPr>
        <w:t>万元、阳江市运动会</w:t>
      </w:r>
      <w:r>
        <w:rPr>
          <w:rFonts w:hint="eastAsia" w:ascii="Times New Roman" w:hAnsi="Times New Roman" w:eastAsia="仿宋_GB2312"/>
          <w:sz w:val="30"/>
          <w:szCs w:val="30"/>
        </w:rPr>
        <w:t>(</w:t>
      </w:r>
      <w:r>
        <w:rPr>
          <w:rFonts w:hint="eastAsia" w:ascii="仿宋_GB2312" w:hAnsi="Times New Roman" w:eastAsia="仿宋_GB2312"/>
          <w:sz w:val="30"/>
          <w:szCs w:val="30"/>
        </w:rPr>
        <w:t>阳江市青少年锦标赛</w:t>
      </w:r>
      <w:r>
        <w:rPr>
          <w:rFonts w:hint="eastAsia" w:ascii="Times New Roman" w:hAnsi="Times New Roman" w:eastAsia="仿宋_GB2312"/>
          <w:sz w:val="30"/>
          <w:szCs w:val="30"/>
        </w:rPr>
        <w:t>)35</w:t>
      </w:r>
      <w:r>
        <w:rPr>
          <w:rFonts w:hint="eastAsia" w:ascii="仿宋_GB2312" w:hAnsi="Times New Roman" w:eastAsia="仿宋_GB2312"/>
          <w:sz w:val="30"/>
          <w:szCs w:val="30"/>
        </w:rPr>
        <w:t>万元、体育场馆免费开放经费</w:t>
      </w:r>
      <w:r>
        <w:rPr>
          <w:rFonts w:hint="eastAsia" w:ascii="Times New Roman" w:hAnsi="Times New Roman" w:eastAsia="仿宋_GB2312"/>
          <w:sz w:val="30"/>
          <w:szCs w:val="30"/>
        </w:rPr>
        <w:t>30</w:t>
      </w:r>
      <w:r>
        <w:rPr>
          <w:rFonts w:hint="eastAsia" w:ascii="仿宋_GB2312" w:hAnsi="Times New Roman" w:eastAsia="仿宋_GB2312"/>
          <w:sz w:val="30"/>
          <w:szCs w:val="30"/>
        </w:rPr>
        <w:t>万元等。</w:t>
      </w:r>
    </w:p>
    <w:p w14:paraId="53C83721">
      <w:pPr>
        <w:spacing w:line="560" w:lineRule="exact"/>
        <w:ind w:firstLine="640" w:firstLineChars="200"/>
        <w:rPr>
          <w:rFonts w:ascii="Times New Roman" w:hAnsi="Times New Roman" w:eastAsia="方正小标宋简体" w:cs="Times New Roman"/>
          <w:sz w:val="32"/>
        </w:rPr>
      </w:pPr>
      <w:r>
        <w:rPr>
          <w:rFonts w:ascii="Times New Roman" w:hAnsi="Times New Roman" w:eastAsia="方正小标宋简体" w:cs="Times New Roman"/>
          <w:sz w:val="32"/>
        </w:rPr>
        <w:t>二、</w:t>
      </w:r>
      <w:r>
        <w:rPr>
          <w:rFonts w:hint="eastAsia" w:ascii="方正小标宋简体" w:hAnsi="Times New Roman" w:eastAsia="方正小标宋简体" w:cs="Times New Roman"/>
          <w:sz w:val="32"/>
        </w:rPr>
        <w:t>2025</w:t>
      </w:r>
      <w:r>
        <w:rPr>
          <w:rFonts w:ascii="Times New Roman" w:hAnsi="Times New Roman" w:eastAsia="方正小标宋简体" w:cs="Times New Roman"/>
          <w:sz w:val="32"/>
        </w:rPr>
        <w:t>年部门主要绩效计划</w:t>
      </w:r>
    </w:p>
    <w:p w14:paraId="4BD70BC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2025</w:t>
      </w:r>
      <w:r>
        <w:rPr>
          <w:rFonts w:ascii="Times New Roman" w:hAnsi="Times New Roman" w:eastAsia="仿宋_GB2312" w:cs="Times New Roman"/>
          <w:sz w:val="32"/>
        </w:rPr>
        <w:t>年，本部门</w:t>
      </w:r>
      <w:r>
        <w:rPr>
          <w:rFonts w:ascii="Times New Roman" w:hAnsi="Times New Roman" w:eastAsia="仿宋_GB2312" w:cs="Times New Roman"/>
          <w:color w:val="000000" w:themeColor="text1"/>
          <w:sz w:val="32"/>
        </w:rPr>
        <w:t>围绕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</w:rPr>
        <w:t>市委市政府重要决策部署、部门职责、事业发展规划和年度工作计划等</w:t>
      </w:r>
      <w:r>
        <w:rPr>
          <w:rFonts w:ascii="Times New Roman" w:hAnsi="Times New Roman" w:eastAsia="仿宋_GB2312" w:cs="Times New Roman"/>
          <w:color w:val="000000" w:themeColor="text1"/>
          <w:sz w:val="32"/>
        </w:rPr>
        <w:t>谋划</w:t>
      </w:r>
      <w:r>
        <w:rPr>
          <w:rFonts w:ascii="Times New Roman" w:hAnsi="Times New Roman" w:eastAsia="仿宋_GB2312" w:cs="Times New Roman"/>
          <w:sz w:val="32"/>
        </w:rPr>
        <w:t>工作</w:t>
      </w:r>
      <w:r>
        <w:rPr>
          <w:rFonts w:hint="eastAsia" w:ascii="Times New Roman" w:hAnsi="Times New Roman" w:eastAsia="仿宋_GB2312" w:cs="Times New Roman"/>
          <w:sz w:val="32"/>
        </w:rPr>
        <w:t>、</w:t>
      </w:r>
      <w:r>
        <w:rPr>
          <w:rFonts w:ascii="Times New Roman" w:hAnsi="Times New Roman" w:eastAsia="仿宋_GB2312" w:cs="Times New Roman"/>
          <w:sz w:val="32"/>
        </w:rPr>
        <w:t>统筹预算，集中财力办大事，切实把钱花在刀刃上。</w:t>
      </w:r>
    </w:p>
    <w:p w14:paraId="002F67D0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</w:rPr>
      </w:pPr>
      <w:r>
        <w:rPr>
          <w:rFonts w:hint="eastAsia" w:ascii="楷体" w:hAnsi="楷体" w:eastAsia="楷体" w:cs="楷体"/>
          <w:sz w:val="32"/>
        </w:rPr>
        <w:t>（一）加快国有景区基础设施建设项目进度。</w:t>
      </w:r>
      <w:r>
        <w:rPr>
          <w:rFonts w:hint="eastAsia" w:ascii="仿宋" w:hAnsi="仿宋" w:eastAsia="仿宋" w:cs="Times New Roman"/>
          <w:sz w:val="32"/>
        </w:rPr>
        <w:t>持续推进河西街道、河</w:t>
      </w:r>
      <w:r>
        <w:rPr>
          <w:rFonts w:hint="eastAsia" w:ascii="仿宋" w:hAnsi="仿宋" w:eastAsia="仿宋" w:cs="宋体"/>
          <w:sz w:val="32"/>
        </w:rPr>
        <w:t>㙟</w:t>
      </w:r>
      <w:r>
        <w:rPr>
          <w:rFonts w:hint="eastAsia" w:ascii="仿宋" w:hAnsi="仿宋" w:eastAsia="仿宋" w:cs="仿宋_GB2312"/>
          <w:sz w:val="32"/>
        </w:rPr>
        <w:t>镇征地。完善春湾风景区门楼及登山道项目设计变更手续。加快完成凌霄风景区项目景区总规、详规编制、项目设计和招投标等工作。</w:t>
      </w:r>
    </w:p>
    <w:p w14:paraId="0E77FF7A"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</w:rPr>
      </w:pPr>
      <w:r>
        <w:rPr>
          <w:rFonts w:hint="eastAsia" w:ascii="楷体" w:hAnsi="楷体" w:eastAsia="楷体" w:cs="楷体"/>
          <w:sz w:val="32"/>
        </w:rPr>
        <w:t>（二）加快推进重点项目建设进度。</w:t>
      </w:r>
      <w:r>
        <w:rPr>
          <w:rFonts w:hint="eastAsia" w:ascii="仿宋" w:hAnsi="仿宋" w:eastAsia="仿宋" w:cs="Times New Roman"/>
          <w:sz w:val="32"/>
        </w:rPr>
        <w:t>加快阳春市全民健身中心建设项目完成项目前期工作，落实项目建设资金，争取年底动工建设。</w:t>
      </w:r>
    </w:p>
    <w:p w14:paraId="7F9783FA"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</w:rPr>
      </w:pPr>
      <w:r>
        <w:rPr>
          <w:rFonts w:hint="eastAsia" w:ascii="楷体" w:hAnsi="楷体" w:eastAsia="楷体" w:cs="楷体"/>
          <w:sz w:val="32"/>
        </w:rPr>
        <w:t>（三）持续推进A级景区创建工作。</w:t>
      </w:r>
      <w:r>
        <w:rPr>
          <w:rFonts w:hint="eastAsia" w:ascii="仿宋" w:hAnsi="仿宋" w:eastAsia="仿宋" w:cs="Times New Roman"/>
          <w:sz w:val="32"/>
        </w:rPr>
        <w:t>做好凌霄岩风景区创建国家5A级旅游景区，推动沙岗儿童公园、阳春圭岗温泉生态康养项目等落地建设等有关工作。</w:t>
      </w:r>
    </w:p>
    <w:p w14:paraId="702D3A5B"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</w:rPr>
      </w:pPr>
      <w:r>
        <w:rPr>
          <w:rFonts w:hint="eastAsia" w:ascii="楷体" w:hAnsi="楷体" w:eastAsia="楷体" w:cs="楷体"/>
          <w:sz w:val="32"/>
        </w:rPr>
        <w:t>（四）举办好大型体育赛事和文旅活动。</w:t>
      </w:r>
      <w:r>
        <w:rPr>
          <w:rFonts w:hint="eastAsia" w:ascii="仿宋" w:hAnsi="仿宋" w:eastAsia="仿宋" w:cs="Times New Roman"/>
          <w:sz w:val="32"/>
        </w:rPr>
        <w:t>举办好杜鹃花海·阳春鸡笼顶越野赛、广东省航海模型锦标赛、广东省“工会杯”龙舟赛、广东省航天航空模型冠军赛等群众体育赛事活动。协助举办好桃花节、高流河墟、重阳古墟等特色文化旅游节庆活动，不断丰富活动举办形式。更新制作阳春文化旅游宣传视频和宣传资料，通过参加旅游博览会、引进影视作品落地阳春实地取景、拓宽新媒体传播等多途径积极宣传推广阳春文旅形象。</w:t>
      </w:r>
    </w:p>
    <w:p w14:paraId="43FEC330"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</w:rPr>
      </w:pPr>
      <w:r>
        <w:rPr>
          <w:rFonts w:hint="eastAsia" w:ascii="楷体" w:hAnsi="楷体" w:eastAsia="楷体" w:cs="楷体"/>
          <w:sz w:val="32"/>
        </w:rPr>
        <w:t>（五）加大力度做好文物保护传承工作。</w:t>
      </w:r>
      <w:r>
        <w:rPr>
          <w:rFonts w:hint="eastAsia" w:ascii="仿宋" w:hAnsi="仿宋" w:eastAsia="仿宋" w:cs="Times New Roman"/>
          <w:sz w:val="32"/>
        </w:rPr>
        <w:t>继续配合省考古研究院做好石望铸钱遗址考古发掘工作，并同步推进石望铸钱遗址保护规划修编工作。做好第四次全国不可移动文物普查工作，确保按时序推进工作任务。配合做好梁镇南将军府炮会、高流河墟、陂面重阳墟等大型非遗节庆活动。争取让更多的传统技艺、传统医药等非遗项目进景区、进社区、进校园。</w:t>
      </w:r>
    </w:p>
    <w:p w14:paraId="0C7828C8"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</w:rPr>
      </w:pPr>
      <w:r>
        <w:rPr>
          <w:rFonts w:hint="eastAsia" w:ascii="楷体" w:hAnsi="楷体" w:eastAsia="楷体" w:cs="楷体"/>
          <w:sz w:val="32"/>
        </w:rPr>
        <w:t>（六）深入挖掘阳春独特文化民俗内涵。</w:t>
      </w:r>
      <w:r>
        <w:rPr>
          <w:rFonts w:hint="eastAsia" w:ascii="仿宋" w:hAnsi="仿宋" w:eastAsia="仿宋" w:cs="Times New Roman"/>
          <w:sz w:val="32"/>
        </w:rPr>
        <w:t>整合推动阳春粤剧、根雕、雅石、书画等传统文化发展。2025年计划开展阳春粤剧“送戏下乡”活动34场、举办书画艺术相关展览12场、开展各类演出活动73场、开展非遗宣传活动8场次。</w:t>
      </w:r>
    </w:p>
    <w:p w14:paraId="61738D5D"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</w:rPr>
      </w:pPr>
      <w:r>
        <w:rPr>
          <w:rFonts w:hint="eastAsia" w:ascii="楷体" w:hAnsi="楷体" w:eastAsia="楷体" w:cs="楷体"/>
          <w:sz w:val="32"/>
        </w:rPr>
        <w:t>（七）强化文旅产品供给力度。</w:t>
      </w:r>
      <w:r>
        <w:rPr>
          <w:rFonts w:hint="eastAsia" w:ascii="仿宋" w:hAnsi="仿宋" w:eastAsia="仿宋" w:cs="Times New Roman"/>
          <w:sz w:val="32"/>
        </w:rPr>
        <w:t>加强景点餐饮、酒店民宿等备案管理，引进和打造一批优质乡村酒店（农家乐）品牌，提升我市旅游服务质量。推动条件成熟的镇、村、涉旅企业创建相应文旅品牌，不断推出旅游精品线路。继续推进和美乡村旅游主题驿站建设，争取尽快完成24个主题驿站挂牌任务。</w:t>
      </w:r>
    </w:p>
    <w:p w14:paraId="324C502F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</w:rPr>
      </w:pPr>
      <w:r>
        <w:rPr>
          <w:rFonts w:hint="eastAsia" w:ascii="楷体" w:hAnsi="楷体" w:eastAsia="楷体" w:cs="楷体"/>
          <w:sz w:val="32"/>
        </w:rPr>
        <w:t>（八）做好旅游行业监管治理工作。</w:t>
      </w:r>
      <w:r>
        <w:rPr>
          <w:rFonts w:hint="eastAsia" w:ascii="仿宋" w:hAnsi="仿宋" w:eastAsia="仿宋" w:cs="Times New Roman"/>
          <w:sz w:val="32"/>
        </w:rPr>
        <w:t>开展文化和旅游市场日常巡查监管，在春节、五一、国庆等重大节假日及重点时段组织开展文旅市场执法检查工作，根据不同领域风险特点和突出问题，探索建立重点监管清单制度。强化营业性演出活动执法监管，清理网络文化市场不良内容，整治旅游市场突出问题，切实落实安全生产工作。</w:t>
      </w:r>
    </w:p>
    <w:p w14:paraId="7749DF8B">
      <w:pPr>
        <w:spacing w:line="560" w:lineRule="exact"/>
        <w:ind w:firstLine="640" w:firstLineChars="200"/>
        <w:rPr>
          <w:rFonts w:hint="eastAsia" w:ascii="方正小标宋简体" w:hAnsi="Times New Roman" w:eastAsia="方正小标宋简体" w:cs="Times New Roman"/>
          <w:sz w:val="32"/>
        </w:rPr>
      </w:pPr>
      <w:r>
        <w:rPr>
          <w:rFonts w:hint="eastAsia" w:ascii="方正小标宋简体" w:hAnsi="Times New Roman" w:eastAsia="方正小标宋简体" w:cs="Times New Roman"/>
          <w:sz w:val="32"/>
        </w:rPr>
        <w:t>三、其他需要说明的情况</w:t>
      </w:r>
    </w:p>
    <w:p w14:paraId="170F736A">
      <w:pPr>
        <w:spacing w:line="560" w:lineRule="exact"/>
        <w:ind w:firstLine="1280" w:firstLineChars="400"/>
        <w:rPr>
          <w:rFonts w:ascii="仿宋" w:hAnsi="仿宋" w:eastAsia="仿宋" w:cs="Times New Roman"/>
          <w:sz w:val="32"/>
        </w:rPr>
      </w:pPr>
      <w:r>
        <w:rPr>
          <w:rFonts w:hint="eastAsia" w:ascii="仿宋" w:hAnsi="仿宋" w:eastAsia="仿宋" w:cs="Times New Roman"/>
          <w:sz w:val="32"/>
        </w:rPr>
        <w:t>无。</w:t>
      </w:r>
      <w:bookmarkStart w:id="0" w:name="_GoBack"/>
      <w:bookmarkEnd w:id="0"/>
    </w:p>
    <w:sectPr>
      <w:headerReference r:id="rId4" w:type="first"/>
      <w:headerReference r:id="rId3" w:type="default"/>
      <w:footerReference r:id="rId5" w:type="default"/>
      <w:pgSz w:w="11906" w:h="16838"/>
      <w:pgMar w:top="1701" w:right="1588" w:bottom="1644" w:left="1701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983604"/>
      <w:docPartObj>
        <w:docPartGallery w:val="AutoText"/>
      </w:docPartObj>
    </w:sdtPr>
    <w:sdtContent>
      <w:p w14:paraId="531ABA05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7B0FA5F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76FA0">
    <w:pPr>
      <w:ind w:leftChars="-405" w:hanging="850" w:hangingChars="40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EF300">
    <w:pPr>
      <w:ind w:left="119" w:leftChars="-204" w:hanging="547" w:hangingChars="228"/>
      <w:rPr>
        <w:rFonts w:ascii="黑体" w:hAnsi="黑体" w:eastAsia="黑体"/>
        <w:sz w:val="24"/>
      </w:rPr>
    </w:pPr>
    <w:r>
      <w:rPr>
        <w:rFonts w:hint="eastAsia" w:ascii="黑体" w:hAnsi="黑体" w:eastAsia="黑体"/>
        <w:sz w:val="24"/>
      </w:rPr>
      <w:t>附件5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85AF1C"/>
    <w:multiLevelType w:val="singleLevel"/>
    <w:tmpl w:val="1585AF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FFBBF11B"/>
    <w:rsid w:val="00001540"/>
    <w:rsid w:val="00003088"/>
    <w:rsid w:val="000526C6"/>
    <w:rsid w:val="001145AA"/>
    <w:rsid w:val="001A7E46"/>
    <w:rsid w:val="002A5504"/>
    <w:rsid w:val="002D0EE6"/>
    <w:rsid w:val="004200A0"/>
    <w:rsid w:val="00426415"/>
    <w:rsid w:val="00443646"/>
    <w:rsid w:val="0048749F"/>
    <w:rsid w:val="0050188C"/>
    <w:rsid w:val="005048FB"/>
    <w:rsid w:val="005077FB"/>
    <w:rsid w:val="00545E6F"/>
    <w:rsid w:val="00567602"/>
    <w:rsid w:val="006027AC"/>
    <w:rsid w:val="00670311"/>
    <w:rsid w:val="00704648"/>
    <w:rsid w:val="00746175"/>
    <w:rsid w:val="00776252"/>
    <w:rsid w:val="00787335"/>
    <w:rsid w:val="00915EA1"/>
    <w:rsid w:val="00A10FDB"/>
    <w:rsid w:val="00A2272A"/>
    <w:rsid w:val="00A35007"/>
    <w:rsid w:val="00AB3707"/>
    <w:rsid w:val="00B143BB"/>
    <w:rsid w:val="00B1730D"/>
    <w:rsid w:val="00B942E4"/>
    <w:rsid w:val="00C32AD5"/>
    <w:rsid w:val="00CB2D8E"/>
    <w:rsid w:val="00D07B96"/>
    <w:rsid w:val="00D43997"/>
    <w:rsid w:val="00DA350B"/>
    <w:rsid w:val="00DF2D6A"/>
    <w:rsid w:val="00E44E18"/>
    <w:rsid w:val="00ED2450"/>
    <w:rsid w:val="13D7AA70"/>
    <w:rsid w:val="2DDE3496"/>
    <w:rsid w:val="35DB706B"/>
    <w:rsid w:val="54E24EDD"/>
    <w:rsid w:val="724A0FE2"/>
    <w:rsid w:val="FFBBF1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83604-0615-4A43-86F3-0059524AFD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2785</Words>
  <Characters>2892</Characters>
  <Lines>20</Lines>
  <Paragraphs>5</Paragraphs>
  <TotalTime>222</TotalTime>
  <ScaleCrop>false</ScaleCrop>
  <LinksUpToDate>false</LinksUpToDate>
  <CharactersWithSpaces>2900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2023-06-25T08:32:00Z</dcterms:created>
  <dc:creator>uos</dc:creator>
  <cp:lastModifiedBy>Huawei</cp:lastModifiedBy>
  <cp:lastPrinted>2023-06-25T08:47:00Z</cp:lastPrinted>
  <dcterms:modified xsi:type="dcterms:W3CDTF">2025-06-09T03:52:36Z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2FE1DA65DFB24E31802D79D1BCED8678_13</vt:lpwstr>
  </property>
  <property fmtid="{D5CDD505-2E9C-101B-9397-08002B2CF9AE}" pid="4" name="KSOTemplateDocerSaveRecord">
    <vt:lpwstr>eyJoZGlkIjoiM2RiODA0NTU1YTk4YjhlOGQwY2JhNjYyYzBlMTg0MzQifQ==</vt:lpwstr>
  </property>
</Properties>
</file>