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A65" w:rsidRDefault="005D5A27">
      <w:pPr>
        <w:spacing w:line="24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阳春市市政基础设施新建与</w:t>
      </w:r>
      <w:bookmarkStart w:id="0" w:name="_GoBack"/>
      <w:bookmarkEnd w:id="0"/>
      <w:r>
        <w:rPr>
          <w:rFonts w:ascii="仿宋_GB2312" w:eastAsia="仿宋_GB2312" w:hAnsi="仿宋" w:cs="仿宋" w:hint="eastAsia"/>
          <w:sz w:val="30"/>
          <w:szCs w:val="30"/>
        </w:rPr>
        <w:t>升级改造工程（第一批）PPP项目总投资约1</w:t>
      </w:r>
      <w:r>
        <w:rPr>
          <w:rFonts w:ascii="仿宋_GB2312" w:eastAsia="仿宋_GB2312" w:hAnsi="仿宋" w:cs="仿宋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亿元，共包含4个子项目，分别是阳春市基础设施建设工程、阳春市区道路改造工程、阳春市管网及水系整治工程、阳春市河东消防站建设工程。</w:t>
      </w:r>
    </w:p>
    <w:p w:rsidR="00B86A65" w:rsidRDefault="005D5A27">
      <w:pPr>
        <w:spacing w:line="24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子项目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阳春市基础设施建设工程，主要对阳春大道、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春州大道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、朝阳路进行升级改造。阳春大道改造长度7.9km，横断面以盛世豪庭、府前东路为界分为三段。春南大道至盛世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豪庭段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(2.3km)增加人行道及非机动车道，改造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后标准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横断面宽度为45.5m（双向六车道）；盛世豪庭至府前东路段(3.2km)道路两侧增加辅道、人行道及非机动车道，改造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后标准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横断面宽度为66m（双向十车道）；府前东路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至春州大道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段(2.4km)通过压缩中央绿化带且两侧外扩增加车道、人行道及非机动车道，改造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后标准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横断面宽度为49m（双向八车道）。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春州大道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改造长度4.1km，除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漠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阳江三桥位置外，改造后道路标准横断面宽度45.5m（双向六车道）。朝阳路改造长度1.9km，朝阳路改造维持现状24米双向四车道标准横断面。主要实施内容为旧路病害修复、路面破除修复(朝阳路)、路面加铺沥青混凝土、道路拓宽、增设非机动车道、增设人行道、完善沿线交通设施、新建雨污水系统、优化照明系统、改造现状绿化带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及完善沿线桥涵、挡墙。</w:t>
      </w:r>
    </w:p>
    <w:p w:rsidR="00B86A65" w:rsidRDefault="005D5A27">
      <w:pPr>
        <w:spacing w:line="24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子项目二阳春市区道路改造工程。原可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建设规模包括8条主要道路及25条小路，因其它子项目建设规模调整，为控制项目总投资，将实施内容由33条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路调整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为兴华路(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包含市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二中至兴华路段、东苑路段)、育德路、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绵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登大道、站前三路4条主要道路，共计约9.4km，主要实施内容为旧路病害修复、旧水泥路面加铺沥青、旧路破除重建(兴华路、育德路局部路段以及站前三路、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绵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登大道)及附属设施改造等。</w:t>
      </w:r>
    </w:p>
    <w:p w:rsidR="00B86A65" w:rsidRDefault="005D5A27">
      <w:pPr>
        <w:widowControl/>
        <w:spacing w:line="24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子项目三阳春市管网及水系整治工程。龙湾河整治内容包括河床清淤、截污完善、管道修复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及伴河路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改造、沿线设施带提升等。清淤工程主要包含龙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湾河约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7.2km和松梅路支流约0.8km清淤工程，总清淤量约2.2万m</w:t>
      </w:r>
      <w:r>
        <w:rPr>
          <w:rFonts w:eastAsia="仿宋_GB2312" w:cs="Calibri"/>
          <w:sz w:val="30"/>
          <w:szCs w:val="30"/>
        </w:rPr>
        <w:t>³</w:t>
      </w:r>
      <w:r>
        <w:rPr>
          <w:rFonts w:ascii="仿宋_GB2312" w:eastAsia="仿宋_GB2312" w:hAnsi="仿宋_GB2312" w:cs="仿宋_GB2312" w:hint="eastAsia"/>
          <w:sz w:val="30"/>
          <w:szCs w:val="30"/>
        </w:rPr>
        <w:t>，河床生态化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修整约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0.8km。截污工程主要包括合流管渠截污及排水管网错混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接改造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两部分内容，共新建DN300~DN1200污水管道约2.8km。非开挖修复工程主要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包括主涌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(东湖水库--排涝泵闸，约7.24km)及支涌（梅溪路--东苑路，约0.82km）两侧现状DN400~DN1500污水管道,经清淤清洗检测，对结构性和功能性缺陷进行修复，总长约11.5km。管网建设内容包含市区18条道路给水主管网改造(同步配套智能消防栓)、水厂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水质监测项目。主管网改造包含：城西大道（新建DN1000约2.3km，过江1处）、南新大道（新建DN800约1.8km）、春江大道（新建DN600约3.2km）、红旗路（新建DN300约0.8km、DN1000约0.3km）、沙岗路（新建DN300约1.5km）、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春州大道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（新建DN1000约4km，过江1处）、阳春大道（新建DN300约0.8km）、东湖路（新建DN600约2.2km）、府前路（新建DN300约0.9km）、松竹路1（阳春大道-兴华路,DN400约0.2km）、兴华路（新建DN400约0.8km）、工业大道（新建DN200约0.5km）、新吉大道（新建DN200约1km）、龙平街（新建DN200约0.6km）、车马大街（新建DN300约0.3km）、松竹路2（车马大街-龙脊中街,DN300约0.3km）、龙脊中街（新建DN300约0.8km）、环城北路（新建DN200约0.7km）。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伴河路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沿龙湾河两侧布置，全长12km，道路线形及横断面基本按现状拟合，部分路段受现状条件制约，按等外道路设计,主要实施内容为路面修复、加铺沥青及配套设施完善。</w:t>
      </w:r>
    </w:p>
    <w:p w:rsidR="00B86A65" w:rsidRDefault="005D5A27">
      <w:pPr>
        <w:ind w:firstLineChars="200" w:firstLine="600"/>
      </w:pPr>
      <w:r>
        <w:rPr>
          <w:rFonts w:ascii="仿宋_GB2312" w:eastAsia="仿宋_GB2312" w:hAnsi="仿宋" w:cs="仿宋" w:hint="eastAsia"/>
          <w:sz w:val="30"/>
          <w:szCs w:val="30"/>
        </w:rPr>
        <w:t>子项目四河东消防站建设工程项目。项目建设</w:t>
      </w:r>
      <w:r>
        <w:rPr>
          <w:rFonts w:ascii="仿宋_GB2312" w:eastAsia="仿宋_GB2312" w:hint="eastAsia"/>
          <w:sz w:val="30"/>
          <w:szCs w:val="30"/>
        </w:rPr>
        <w:t>1幢4层高消防综合业务用房、1幢4层高培训楼和1幢10层高消防训练塔、1幢室内训练馆，主要建设内容包括主体结构工程、给排水工程、电气工程、通风工程、动力系统及配套附属工程。</w:t>
      </w:r>
    </w:p>
    <w:sectPr w:rsidR="00B86A65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43D" w:rsidRDefault="00D1543D">
      <w:pPr>
        <w:spacing w:line="240" w:lineRule="auto"/>
      </w:pPr>
      <w:r>
        <w:separator/>
      </w:r>
    </w:p>
  </w:endnote>
  <w:endnote w:type="continuationSeparator" w:id="0">
    <w:p w:rsidR="00D1543D" w:rsidRDefault="00D1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977078"/>
      <w:docPartObj>
        <w:docPartGallery w:val="Page Numbers (Bottom of Page)"/>
        <w:docPartUnique/>
      </w:docPartObj>
    </w:sdtPr>
    <w:sdtContent>
      <w:p w:rsidR="00982F4B" w:rsidRDefault="00982F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63651A" w:rsidRDefault="00636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43D" w:rsidRDefault="00D1543D">
      <w:pPr>
        <w:spacing w:line="240" w:lineRule="auto"/>
      </w:pPr>
      <w:r>
        <w:separator/>
      </w:r>
    </w:p>
  </w:footnote>
  <w:footnote w:type="continuationSeparator" w:id="0">
    <w:p w:rsidR="00D1543D" w:rsidRDefault="00D1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65" w:rsidRDefault="00B86A65" w:rsidP="00982F4B">
    <w:pPr>
      <w:pStyle w:val="a7"/>
      <w:jc w:val="both"/>
    </w:pPr>
  </w:p>
  <w:p w:rsidR="00B86A65" w:rsidRDefault="00B86A65" w:rsidP="00982F4B">
    <w:pPr>
      <w:pStyle w:val="a7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D87"/>
    <w:rsid w:val="0002523B"/>
    <w:rsid w:val="002E2C3C"/>
    <w:rsid w:val="003E22C2"/>
    <w:rsid w:val="00473387"/>
    <w:rsid w:val="005277F3"/>
    <w:rsid w:val="005D5A27"/>
    <w:rsid w:val="0063651A"/>
    <w:rsid w:val="006E5907"/>
    <w:rsid w:val="00724199"/>
    <w:rsid w:val="0074706E"/>
    <w:rsid w:val="00954210"/>
    <w:rsid w:val="00982F4B"/>
    <w:rsid w:val="009E51E9"/>
    <w:rsid w:val="00B86A65"/>
    <w:rsid w:val="00D1543D"/>
    <w:rsid w:val="00D94A26"/>
    <w:rsid w:val="00EE5D87"/>
    <w:rsid w:val="60E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354F3"/>
  <w15:docId w15:val="{85AAEB2C-C4D6-4366-BBC5-993E2291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仿宋" w:hAnsi="Calibri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6FE54-AA1B-4419-AB2C-14981112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pc-1209-1</dc:creator>
  <cp:lastModifiedBy>pc-1209-1</cp:lastModifiedBy>
  <cp:revision>8</cp:revision>
  <cp:lastPrinted>2022-04-29T00:29:00Z</cp:lastPrinted>
  <dcterms:created xsi:type="dcterms:W3CDTF">2022-04-28T07:07:00Z</dcterms:created>
  <dcterms:modified xsi:type="dcterms:W3CDTF">2022-04-29T00:32:00Z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