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jc w:val="center"/>
        <w:rPr>
          <w:rFonts w:ascii="方正小标宋简体" w:hAnsi="仿宋" w:eastAsia="方正小标宋简体"/>
          <w:color w:val="auto"/>
          <w:spacing w:val="-57"/>
          <w:sz w:val="40"/>
          <w:szCs w:val="40"/>
        </w:rPr>
      </w:pPr>
      <w:bookmarkStart w:id="0" w:name="_GoBack"/>
    </w:p>
    <w:p>
      <w:pPr>
        <w:spacing w:line="720" w:lineRule="exact"/>
        <w:jc w:val="center"/>
        <w:rPr>
          <w:rFonts w:ascii="方正小标宋简体" w:hAnsi="仿宋" w:eastAsia="方正小标宋简体"/>
          <w:color w:val="auto"/>
          <w:spacing w:val="-57"/>
          <w:sz w:val="40"/>
          <w:szCs w:val="40"/>
        </w:rPr>
      </w:pPr>
    </w:p>
    <w:p>
      <w:pPr>
        <w:spacing w:line="720" w:lineRule="exact"/>
        <w:jc w:val="center"/>
        <w:rPr>
          <w:rFonts w:ascii="方正小标宋简体" w:hAnsi="仿宋" w:eastAsia="方正小标宋简体"/>
          <w:color w:val="auto"/>
          <w:spacing w:val="-57"/>
          <w:sz w:val="40"/>
          <w:szCs w:val="40"/>
        </w:rPr>
      </w:pPr>
    </w:p>
    <w:p>
      <w:pPr>
        <w:spacing w:line="600" w:lineRule="exact"/>
        <w:jc w:val="center"/>
        <w:rPr>
          <w:rFonts w:hint="eastAsia" w:ascii="方正小标宋简体" w:hAnsi="仿宋" w:eastAsia="方正小标宋简体"/>
          <w:b w:val="0"/>
          <w:color w:val="auto"/>
          <w:spacing w:val="-57"/>
          <w:sz w:val="44"/>
          <w:szCs w:val="44"/>
          <w:highlight w:val="none"/>
        </w:rPr>
      </w:pPr>
      <w:r>
        <w:rPr>
          <w:rFonts w:hint="eastAsia" w:ascii="方正小标宋简体" w:hAnsi="仿宋" w:eastAsia="方正小标宋简体"/>
          <w:b w:val="0"/>
          <w:color w:val="auto"/>
          <w:spacing w:val="-57"/>
          <w:sz w:val="44"/>
          <w:szCs w:val="44"/>
          <w:highlight w:val="none"/>
        </w:rPr>
        <w:t>阳春市基本农田保护经济补偿实施细则</w:t>
      </w:r>
    </w:p>
    <w:p>
      <w:pPr>
        <w:spacing w:line="600" w:lineRule="exact"/>
        <w:jc w:val="center"/>
        <w:rPr>
          <w:rFonts w:ascii="方正小标宋简体" w:hAnsi="仿宋" w:eastAsia="方正小标宋简体"/>
          <w:color w:val="auto"/>
          <w:spacing w:val="-57"/>
          <w:sz w:val="44"/>
          <w:szCs w:val="44"/>
        </w:rPr>
      </w:pPr>
      <w:r>
        <w:rPr>
          <w:rFonts w:hint="eastAsia" w:ascii="方正小标宋简体" w:hAnsi="方正小标宋简体" w:eastAsia="方正小标宋简体" w:cs="方正小标宋简体"/>
          <w:color w:val="auto"/>
          <w:spacing w:val="-57"/>
          <w:sz w:val="44"/>
          <w:szCs w:val="44"/>
          <w:lang w:val="en-US" w:eastAsia="zh-CN"/>
        </w:rPr>
        <w:t>(</w:t>
      </w:r>
      <w:r>
        <w:rPr>
          <w:rFonts w:hint="eastAsia" w:ascii="方正小标宋简体" w:hAnsi="方正小标宋简体" w:eastAsia="方正小标宋简体" w:cs="方正小标宋简体"/>
          <w:color w:val="auto"/>
          <w:spacing w:val="-57"/>
          <w:sz w:val="44"/>
          <w:szCs w:val="44"/>
          <w:lang w:eastAsia="zh-CN"/>
        </w:rPr>
        <w:t>202</w:t>
      </w:r>
      <w:r>
        <w:rPr>
          <w:rFonts w:hint="eastAsia" w:ascii="方正小标宋简体" w:hAnsi="方正小标宋简体" w:eastAsia="方正小标宋简体" w:cs="方正小标宋简体"/>
          <w:color w:val="auto"/>
          <w:spacing w:val="-57"/>
          <w:sz w:val="44"/>
          <w:szCs w:val="44"/>
          <w:lang w:val="en-US" w:eastAsia="zh-CN"/>
        </w:rPr>
        <w:t>1</w:t>
      </w:r>
      <w:r>
        <w:rPr>
          <w:rFonts w:hint="eastAsia" w:ascii="方正小标宋简体" w:hAnsi="方正小标宋简体" w:eastAsia="方正小标宋简体" w:cs="方正小标宋简体"/>
          <w:color w:val="auto"/>
          <w:spacing w:val="-57"/>
          <w:sz w:val="44"/>
          <w:szCs w:val="44"/>
          <w:lang w:eastAsia="zh-CN"/>
        </w:rPr>
        <w:t>年修订</w:t>
      </w:r>
      <w:r>
        <w:rPr>
          <w:rFonts w:hint="eastAsia" w:ascii="方正小标宋简体" w:hAnsi="方正小标宋简体" w:eastAsia="方正小标宋简体" w:cs="方正小标宋简体"/>
          <w:color w:val="auto"/>
          <w:spacing w:val="-57"/>
          <w:sz w:val="44"/>
          <w:szCs w:val="44"/>
          <w:lang w:val="en-US" w:eastAsia="zh-CN"/>
        </w:rPr>
        <w:t>)</w:t>
      </w:r>
    </w:p>
    <w:p>
      <w:pPr>
        <w:spacing w:line="400" w:lineRule="exact"/>
        <w:rPr>
          <w:rFonts w:ascii="仿宋" w:hAnsi="仿宋" w:eastAsia="仿宋"/>
          <w:color w:val="auto"/>
          <w:spacing w:val="-57"/>
          <w:sz w:val="32"/>
          <w:szCs w:val="32"/>
        </w:rPr>
      </w:pP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b/>
          <w:color w:val="auto"/>
          <w:spacing w:val="-56"/>
          <w:sz w:val="32"/>
          <w:szCs w:val="32"/>
          <w:highlight w:val="none"/>
        </w:rPr>
        <w:t>第一条</w:t>
      </w:r>
      <w:r>
        <w:rPr>
          <w:rFonts w:hint="eastAsia" w:ascii="仿宋_GB2312" w:eastAsia="仿宋_GB2312"/>
          <w:color w:val="auto"/>
          <w:spacing w:val="-56"/>
          <w:sz w:val="32"/>
          <w:szCs w:val="32"/>
          <w:highlight w:val="none"/>
        </w:rPr>
        <w:t xml:space="preserve">  为更好地落实基本农田保护任务，保障承担基本农田保护任务者的利益，我市建立基本农田保护激励机制，依据《广东省基本农田保护区管理条例》、《广东省人民政府办公厅转发省国土资源厅财政厅关于建立基农田保护经济补偿制度的意见》</w:t>
      </w:r>
      <w:r>
        <w:rPr>
          <w:rFonts w:hint="eastAsia" w:ascii="仿宋_GB2312" w:eastAsia="仿宋_GB2312"/>
          <w:color w:val="auto"/>
          <w:spacing w:val="-56"/>
          <w:sz w:val="32"/>
          <w:szCs w:val="32"/>
          <w:highlight w:val="none"/>
          <w:lang w:eastAsia="zh-CN"/>
        </w:rPr>
        <w:t>、《广东省财政厅关于印发</w:t>
      </w:r>
      <w:r>
        <w:rPr>
          <w:rFonts w:hint="eastAsia" w:ascii="仿宋_GB2312" w:eastAsia="仿宋_GB2312"/>
          <w:color w:val="auto"/>
          <w:spacing w:val="-56"/>
          <w:sz w:val="32"/>
          <w:szCs w:val="32"/>
          <w:highlight w:val="none"/>
          <w:lang w:val="en-US" w:eastAsia="zh-CN"/>
        </w:rPr>
        <w:t>广东省涉农统筹整合管理办法（2020年修订）的通知</w:t>
      </w:r>
      <w:r>
        <w:rPr>
          <w:rFonts w:hint="eastAsia" w:ascii="仿宋_GB2312" w:eastAsia="仿宋_GB2312"/>
          <w:color w:val="auto"/>
          <w:spacing w:val="-56"/>
          <w:sz w:val="32"/>
          <w:szCs w:val="32"/>
          <w:highlight w:val="none"/>
          <w:lang w:eastAsia="zh-CN"/>
        </w:rPr>
        <w:t>》</w:t>
      </w:r>
      <w:r>
        <w:rPr>
          <w:rFonts w:hint="eastAsia" w:ascii="仿宋_GB2312" w:eastAsia="仿宋_GB2312"/>
          <w:color w:val="auto"/>
          <w:spacing w:val="-56"/>
          <w:sz w:val="32"/>
          <w:szCs w:val="32"/>
          <w:highlight w:val="none"/>
        </w:rPr>
        <w:t>和《阳江市基本农田保护经济补偿办法》等相关规定，结合阳春市实际情况，制定本细则。</w:t>
      </w:r>
    </w:p>
    <w:p>
      <w:pPr>
        <w:spacing w:line="600" w:lineRule="exact"/>
        <w:ind w:firstLine="612" w:firstLineChars="196"/>
        <w:rPr>
          <w:rFonts w:hint="eastAsia" w:ascii="仿宋_GB2312" w:eastAsia="仿宋_GB2312"/>
          <w:color w:val="auto"/>
          <w:spacing w:val="-56"/>
          <w:sz w:val="32"/>
          <w:szCs w:val="32"/>
          <w:highlight w:val="none"/>
        </w:rPr>
      </w:pPr>
      <w:r>
        <w:rPr>
          <w:rFonts w:hint="eastAsia" w:ascii="仿宋_GB2312" w:eastAsia="仿宋_GB2312"/>
          <w:b/>
          <w:color w:val="auto"/>
          <w:spacing w:val="-56"/>
          <w:sz w:val="32"/>
          <w:szCs w:val="32"/>
          <w:highlight w:val="none"/>
        </w:rPr>
        <w:t>第二条</w:t>
      </w:r>
      <w:r>
        <w:rPr>
          <w:rFonts w:hint="eastAsia" w:ascii="仿宋_GB2312" w:eastAsia="仿宋_GB2312"/>
          <w:color w:val="auto"/>
          <w:spacing w:val="-56"/>
          <w:sz w:val="32"/>
          <w:szCs w:val="32"/>
          <w:highlight w:val="none"/>
        </w:rPr>
        <w:t xml:space="preserve">  基本农田经济补偿对象为阳春市范围内承担基本农田保护任务并签定基本农田保护责任书的村集体经济组织或其他责任单位。</w:t>
      </w:r>
    </w:p>
    <w:p>
      <w:pPr>
        <w:spacing w:line="600" w:lineRule="exact"/>
        <w:ind w:firstLine="612" w:firstLineChars="196"/>
        <w:rPr>
          <w:rFonts w:hint="eastAsia" w:ascii="仿宋_GB2312" w:eastAsia="仿宋_GB2312"/>
          <w:color w:val="auto"/>
          <w:spacing w:val="-56"/>
          <w:sz w:val="32"/>
          <w:szCs w:val="32"/>
          <w:highlight w:val="none"/>
        </w:rPr>
      </w:pPr>
      <w:r>
        <w:rPr>
          <w:rFonts w:hint="eastAsia" w:ascii="仿宋_GB2312" w:eastAsia="仿宋_GB2312"/>
          <w:b/>
          <w:color w:val="auto"/>
          <w:spacing w:val="-56"/>
          <w:sz w:val="32"/>
          <w:szCs w:val="32"/>
          <w:highlight w:val="none"/>
        </w:rPr>
        <w:t>第三条</w:t>
      </w:r>
      <w:r>
        <w:rPr>
          <w:rFonts w:hint="eastAsia" w:ascii="仿宋_GB2312" w:eastAsia="仿宋_GB2312"/>
          <w:color w:val="auto"/>
          <w:spacing w:val="-56"/>
          <w:sz w:val="32"/>
          <w:szCs w:val="32"/>
          <w:highlight w:val="none"/>
        </w:rPr>
        <w:t xml:space="preserve">  因建设项目依法占用等原因，各镇（街道）、村基本农田面积每年可能会调整变化，以市</w:t>
      </w:r>
      <w:r>
        <w:rPr>
          <w:rFonts w:hint="eastAsia" w:ascii="仿宋_GB2312" w:eastAsia="仿宋_GB2312"/>
          <w:color w:val="auto"/>
          <w:spacing w:val="-56"/>
          <w:sz w:val="32"/>
          <w:szCs w:val="32"/>
          <w:highlight w:val="none"/>
          <w:lang w:eastAsia="zh-CN"/>
        </w:rPr>
        <w:t>自然</w:t>
      </w:r>
      <w:r>
        <w:rPr>
          <w:rFonts w:hint="eastAsia" w:ascii="仿宋_GB2312" w:eastAsia="仿宋_GB2312"/>
          <w:color w:val="auto"/>
          <w:spacing w:val="-56"/>
          <w:sz w:val="32"/>
          <w:szCs w:val="32"/>
          <w:highlight w:val="none"/>
        </w:rPr>
        <w:t>资源部门核定为准。</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b/>
          <w:color w:val="auto"/>
          <w:spacing w:val="-56"/>
          <w:sz w:val="32"/>
          <w:szCs w:val="32"/>
          <w:highlight w:val="none"/>
        </w:rPr>
        <w:t>第四条</w:t>
      </w:r>
      <w:r>
        <w:rPr>
          <w:rFonts w:hint="eastAsia" w:ascii="仿宋_GB2312" w:eastAsia="仿宋_GB2312"/>
          <w:color w:val="auto"/>
          <w:spacing w:val="-56"/>
          <w:sz w:val="32"/>
          <w:szCs w:val="32"/>
          <w:highlight w:val="none"/>
        </w:rPr>
        <w:t xml:space="preserve">  省财政按30元/亩/年，阳江市财政按0.6元/亩/年的标准下拨基本农田保护补偿资金，本市财政按1.4元/亩/年的标准筹集资</w:t>
      </w:r>
      <w:r>
        <w:rPr>
          <w:rFonts w:hint="eastAsia" w:ascii="仿宋_GB2312" w:hAnsi="Times New Roman" w:eastAsia="仿宋_GB2312" w:cs="Times New Roman"/>
          <w:color w:val="auto"/>
          <w:spacing w:val="-56"/>
          <w:sz w:val="32"/>
          <w:szCs w:val="32"/>
          <w:highlight w:val="none"/>
        </w:rPr>
        <w:t>金，</w:t>
      </w:r>
      <w:r>
        <w:rPr>
          <w:rFonts w:hint="eastAsia" w:ascii="仿宋_GB2312" w:hAnsi="Times New Roman" w:eastAsia="仿宋_GB2312" w:cs="Times New Roman"/>
          <w:color w:val="auto"/>
          <w:spacing w:val="-56"/>
          <w:sz w:val="32"/>
          <w:szCs w:val="32"/>
          <w:highlight w:val="none"/>
          <w:lang w:eastAsia="zh-CN"/>
        </w:rPr>
        <w:t>列入本市当年度财政预算，</w:t>
      </w:r>
      <w:r>
        <w:rPr>
          <w:rFonts w:hint="eastAsia" w:ascii="仿宋_GB2312" w:eastAsia="仿宋_GB2312"/>
          <w:color w:val="auto"/>
          <w:spacing w:val="-56"/>
          <w:sz w:val="32"/>
          <w:szCs w:val="32"/>
          <w:highlight w:val="none"/>
        </w:rPr>
        <w:t>本市的财政补偿资金主要来源于土地出让金、耕地开垦费。</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b/>
          <w:color w:val="auto"/>
          <w:spacing w:val="-56"/>
          <w:sz w:val="32"/>
          <w:szCs w:val="32"/>
          <w:highlight w:val="none"/>
        </w:rPr>
        <w:t>第五条</w:t>
      </w:r>
      <w:r>
        <w:rPr>
          <w:rFonts w:hint="eastAsia" w:ascii="仿宋_GB2312" w:eastAsia="仿宋_GB2312"/>
          <w:color w:val="auto"/>
          <w:spacing w:val="-56"/>
          <w:sz w:val="32"/>
          <w:szCs w:val="32"/>
          <w:highlight w:val="none"/>
        </w:rPr>
        <w:t xml:space="preserve">  实行保护责任与经济补偿挂钩制度，承担保护任务的单位必须明确责任，严格保护基本农田。实施补偿必须同时符合以下条件：</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color w:val="auto"/>
          <w:spacing w:val="-56"/>
          <w:sz w:val="32"/>
          <w:szCs w:val="32"/>
          <w:highlight w:val="none"/>
        </w:rPr>
        <w:t>（一）签订基本农田保护责任书；</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color w:val="auto"/>
          <w:spacing w:val="-56"/>
          <w:sz w:val="32"/>
          <w:szCs w:val="32"/>
          <w:highlight w:val="none"/>
        </w:rPr>
        <w:t>（二）依法保护和管理基本农田；</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color w:val="auto"/>
          <w:spacing w:val="-56"/>
          <w:sz w:val="32"/>
          <w:szCs w:val="32"/>
          <w:highlight w:val="none"/>
        </w:rPr>
        <w:t xml:space="preserve">（三）依法在基本农田保护区内进行农业生产，不许丢荒、弃耕； </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color w:val="auto"/>
          <w:spacing w:val="-56"/>
          <w:sz w:val="32"/>
          <w:szCs w:val="32"/>
          <w:highlight w:val="none"/>
        </w:rPr>
        <w:t xml:space="preserve">（四）严格按规定使用基本农田保护补偿金； </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color w:val="auto"/>
          <w:spacing w:val="-56"/>
          <w:sz w:val="32"/>
          <w:szCs w:val="32"/>
          <w:highlight w:val="none"/>
        </w:rPr>
        <w:t>（五）在辖区内无新增违法违规用地现象。</w:t>
      </w:r>
    </w:p>
    <w:p>
      <w:pPr>
        <w:spacing w:line="600" w:lineRule="exact"/>
        <w:ind w:firstLine="626" w:firstLineChars="200"/>
        <w:rPr>
          <w:rFonts w:hint="eastAsia" w:ascii="仿宋_GB2312" w:eastAsia="仿宋_GB2312"/>
          <w:color w:val="auto"/>
          <w:spacing w:val="-56"/>
          <w:sz w:val="32"/>
          <w:szCs w:val="32"/>
          <w:highlight w:val="none"/>
          <w:u w:val="none"/>
        </w:rPr>
      </w:pPr>
      <w:r>
        <w:rPr>
          <w:rFonts w:hint="eastAsia" w:ascii="仿宋_GB2312" w:eastAsia="仿宋_GB2312"/>
          <w:b/>
          <w:color w:val="auto"/>
          <w:spacing w:val="-56"/>
          <w:sz w:val="32"/>
          <w:szCs w:val="32"/>
          <w:highlight w:val="none"/>
        </w:rPr>
        <w:t xml:space="preserve">第六条   </w:t>
      </w:r>
      <w:r>
        <w:rPr>
          <w:rFonts w:hint="eastAsia" w:ascii="仿宋_GB2312" w:eastAsia="仿宋_GB2312"/>
          <w:color w:val="auto"/>
          <w:spacing w:val="-56"/>
          <w:sz w:val="32"/>
          <w:szCs w:val="32"/>
          <w:highlight w:val="none"/>
        </w:rPr>
        <w:t>补偿资金主要用于</w:t>
      </w:r>
      <w:r>
        <w:rPr>
          <w:rFonts w:hint="eastAsia" w:ascii="仿宋_GB2312" w:eastAsia="仿宋_GB2312"/>
          <w:color w:val="auto"/>
          <w:spacing w:val="-56"/>
          <w:sz w:val="32"/>
          <w:szCs w:val="32"/>
          <w:highlight w:val="none"/>
          <w:lang w:eastAsia="zh-CN"/>
        </w:rPr>
        <w:t>辖区内</w:t>
      </w:r>
      <w:r>
        <w:rPr>
          <w:rFonts w:hint="eastAsia" w:ascii="仿宋_GB2312" w:eastAsia="仿宋_GB2312"/>
          <w:color w:val="auto"/>
          <w:spacing w:val="-56"/>
          <w:sz w:val="32"/>
          <w:szCs w:val="32"/>
          <w:highlight w:val="none"/>
        </w:rPr>
        <w:t>基本农田后续管护、农村土地整治、村村通道路建设及维护、农村水利建设、抽水</w:t>
      </w:r>
      <w:r>
        <w:rPr>
          <w:rFonts w:hint="eastAsia" w:ascii="仿宋_GB2312" w:eastAsia="仿宋_GB2312"/>
          <w:color w:val="auto"/>
          <w:spacing w:val="-56"/>
          <w:sz w:val="32"/>
          <w:szCs w:val="32"/>
          <w:highlight w:val="none"/>
          <w:lang w:eastAsia="zh-CN"/>
        </w:rPr>
        <w:t>排</w:t>
      </w:r>
      <w:r>
        <w:rPr>
          <w:rFonts w:hint="eastAsia" w:ascii="仿宋_GB2312" w:eastAsia="仿宋_GB2312"/>
          <w:color w:val="auto"/>
          <w:spacing w:val="-56"/>
          <w:sz w:val="32"/>
          <w:szCs w:val="32"/>
          <w:highlight w:val="none"/>
        </w:rPr>
        <w:t>灌电费支出，</w:t>
      </w:r>
      <w:r>
        <w:rPr>
          <w:rFonts w:hint="eastAsia" w:ascii="仿宋_GB2312" w:eastAsia="仿宋_GB2312"/>
          <w:color w:val="auto"/>
          <w:spacing w:val="-56"/>
          <w:sz w:val="32"/>
          <w:szCs w:val="32"/>
          <w:highlight w:val="none"/>
          <w:u w:val="none"/>
        </w:rPr>
        <w:t>以及</w:t>
      </w:r>
      <w:r>
        <w:rPr>
          <w:rFonts w:hint="eastAsia" w:ascii="仿宋_GB2312" w:eastAsia="仿宋_GB2312"/>
          <w:color w:val="auto"/>
          <w:spacing w:val="-56"/>
          <w:sz w:val="32"/>
          <w:szCs w:val="32"/>
          <w:highlight w:val="none"/>
          <w:u w:val="none"/>
          <w:lang w:eastAsia="zh-CN"/>
        </w:rPr>
        <w:t>农村集体经济组织成员参加</w:t>
      </w:r>
      <w:r>
        <w:rPr>
          <w:rFonts w:hint="eastAsia" w:ascii="仿宋_GB2312" w:eastAsia="仿宋_GB2312"/>
          <w:color w:val="auto"/>
          <w:spacing w:val="-56"/>
          <w:sz w:val="32"/>
          <w:szCs w:val="32"/>
          <w:highlight w:val="none"/>
          <w:u w:val="none"/>
        </w:rPr>
        <w:t>社会养老保险和农村合作医疗等支出。</w:t>
      </w:r>
    </w:p>
    <w:p>
      <w:pPr>
        <w:spacing w:line="600" w:lineRule="exact"/>
        <w:ind w:firstLine="626" w:firstLineChars="200"/>
        <w:rPr>
          <w:rFonts w:hint="eastAsia" w:ascii="仿宋_GB2312" w:eastAsia="仿宋_GB2312"/>
          <w:color w:val="auto"/>
          <w:spacing w:val="-56"/>
          <w:sz w:val="32"/>
          <w:szCs w:val="32"/>
          <w:highlight w:val="none"/>
          <w:lang w:val="en-US" w:eastAsia="zh-CN"/>
        </w:rPr>
      </w:pPr>
      <w:r>
        <w:rPr>
          <w:rFonts w:hint="eastAsia" w:ascii="仿宋_GB2312" w:eastAsia="仿宋_GB2312"/>
          <w:b/>
          <w:color w:val="auto"/>
          <w:spacing w:val="-56"/>
          <w:sz w:val="32"/>
          <w:szCs w:val="32"/>
          <w:highlight w:val="none"/>
        </w:rPr>
        <w:t>第七条</w:t>
      </w:r>
      <w:r>
        <w:rPr>
          <w:rFonts w:hint="eastAsia" w:ascii="仿宋_GB2312" w:eastAsia="仿宋_GB2312"/>
          <w:color w:val="auto"/>
          <w:spacing w:val="-56"/>
          <w:sz w:val="32"/>
          <w:szCs w:val="32"/>
          <w:highlight w:val="none"/>
        </w:rPr>
        <w:t xml:space="preserve">  </w:t>
      </w:r>
      <w:r>
        <w:rPr>
          <w:rFonts w:hint="eastAsia" w:ascii="仿宋_GB2312" w:eastAsia="仿宋_GB2312"/>
          <w:color w:val="auto"/>
          <w:spacing w:val="-56"/>
          <w:sz w:val="32"/>
          <w:szCs w:val="32"/>
          <w:highlight w:val="none"/>
          <w:lang w:eastAsia="zh-CN"/>
        </w:rPr>
        <w:t>市自然资源局、市财政局根据镇（街道）</w:t>
      </w:r>
      <w:r>
        <w:rPr>
          <w:rFonts w:hint="eastAsia" w:ascii="仿宋_GB2312" w:eastAsia="仿宋_GB2312"/>
          <w:color w:val="auto"/>
          <w:spacing w:val="-56"/>
          <w:sz w:val="32"/>
          <w:szCs w:val="32"/>
          <w:highlight w:val="none"/>
        </w:rPr>
        <w:t>所属各村民小组或其他责任单位当年</w:t>
      </w:r>
      <w:r>
        <w:rPr>
          <w:rFonts w:hint="eastAsia" w:ascii="仿宋_GB2312" w:eastAsia="仿宋_GB2312"/>
          <w:color w:val="auto"/>
          <w:spacing w:val="-56"/>
          <w:sz w:val="32"/>
          <w:szCs w:val="32"/>
          <w:highlight w:val="none"/>
          <w:lang w:eastAsia="zh-CN"/>
        </w:rPr>
        <w:t>核定</w:t>
      </w:r>
      <w:r>
        <w:rPr>
          <w:rFonts w:hint="eastAsia" w:ascii="仿宋_GB2312" w:eastAsia="仿宋_GB2312"/>
          <w:color w:val="auto"/>
          <w:spacing w:val="-56"/>
          <w:sz w:val="32"/>
          <w:szCs w:val="32"/>
          <w:highlight w:val="none"/>
        </w:rPr>
        <w:t>的基本农田面积</w:t>
      </w:r>
      <w:r>
        <w:rPr>
          <w:rFonts w:hint="eastAsia" w:ascii="仿宋_GB2312" w:eastAsia="仿宋_GB2312"/>
          <w:color w:val="auto"/>
          <w:spacing w:val="-56"/>
          <w:sz w:val="32"/>
          <w:szCs w:val="32"/>
          <w:highlight w:val="none"/>
          <w:lang w:eastAsia="zh-CN"/>
        </w:rPr>
        <w:t>安排资金，并将省、市、县补偿资金拨</w:t>
      </w:r>
      <w:r>
        <w:rPr>
          <w:rFonts w:hint="eastAsia" w:ascii="仿宋_GB2312" w:eastAsia="仿宋_GB2312"/>
          <w:color w:val="auto"/>
          <w:spacing w:val="-56"/>
          <w:sz w:val="32"/>
          <w:szCs w:val="32"/>
          <w:highlight w:val="none"/>
        </w:rPr>
        <w:t>到各镇</w:t>
      </w:r>
      <w:r>
        <w:rPr>
          <w:rFonts w:hint="eastAsia" w:ascii="仿宋_GB2312" w:eastAsia="仿宋_GB2312"/>
          <w:color w:val="auto"/>
          <w:spacing w:val="-56"/>
          <w:sz w:val="32"/>
          <w:szCs w:val="32"/>
          <w:highlight w:val="none"/>
          <w:lang w:eastAsia="zh-CN"/>
        </w:rPr>
        <w:t>（街道），由镇（街道）结合当地实际情况，在镇内统筹调剂使用</w:t>
      </w:r>
      <w:r>
        <w:rPr>
          <w:rFonts w:hint="eastAsia" w:ascii="仿宋_GB2312" w:eastAsia="仿宋_GB2312"/>
          <w:color w:val="auto"/>
          <w:spacing w:val="-56"/>
          <w:sz w:val="32"/>
          <w:szCs w:val="32"/>
          <w:highlight w:val="none"/>
        </w:rPr>
        <w:t>。</w:t>
      </w:r>
      <w:r>
        <w:rPr>
          <w:rFonts w:hint="eastAsia" w:ascii="仿宋_GB2312" w:eastAsia="仿宋_GB2312"/>
          <w:color w:val="auto"/>
          <w:spacing w:val="-56"/>
          <w:sz w:val="32"/>
          <w:szCs w:val="32"/>
          <w:highlight w:val="none"/>
          <w:lang w:val="en-US" w:eastAsia="zh-CN"/>
        </w:rPr>
        <w:t>每季度将使用情况报市财政局、市自然资源局备案。</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b/>
          <w:color w:val="auto"/>
          <w:spacing w:val="-56"/>
          <w:sz w:val="32"/>
          <w:szCs w:val="32"/>
          <w:highlight w:val="none"/>
        </w:rPr>
        <w:t xml:space="preserve">第八条 </w:t>
      </w:r>
      <w:r>
        <w:rPr>
          <w:rFonts w:hint="eastAsia" w:ascii="仿宋_GB2312" w:eastAsia="仿宋_GB2312"/>
          <w:color w:val="auto"/>
          <w:spacing w:val="-56"/>
          <w:sz w:val="32"/>
          <w:szCs w:val="32"/>
          <w:highlight w:val="none"/>
        </w:rPr>
        <w:t xml:space="preserve"> 各</w:t>
      </w:r>
      <w:r>
        <w:rPr>
          <w:rFonts w:hint="eastAsia" w:ascii="仿宋_GB2312" w:eastAsia="仿宋_GB2312"/>
          <w:color w:val="auto"/>
          <w:spacing w:val="-56"/>
          <w:sz w:val="32"/>
          <w:szCs w:val="32"/>
          <w:highlight w:val="none"/>
          <w:lang w:eastAsia="zh-CN"/>
        </w:rPr>
        <w:t>镇（街道）</w:t>
      </w:r>
      <w:r>
        <w:rPr>
          <w:rFonts w:hint="eastAsia" w:ascii="仿宋_GB2312" w:eastAsia="仿宋_GB2312"/>
          <w:color w:val="auto"/>
          <w:spacing w:val="-56"/>
          <w:sz w:val="32"/>
          <w:szCs w:val="32"/>
          <w:highlight w:val="none"/>
        </w:rPr>
        <w:t>的基本农田保护经济补偿资金要设专账管理，专款用于各项基本农田保护的实际支出，不得挪作他用。</w:t>
      </w:r>
    </w:p>
    <w:p>
      <w:pPr>
        <w:spacing w:line="600" w:lineRule="exact"/>
        <w:ind w:firstLine="626" w:firstLineChars="200"/>
        <w:rPr>
          <w:rFonts w:hint="default" w:ascii="仿宋_GB2312" w:eastAsia="仿宋_GB2312"/>
          <w:color w:val="auto"/>
          <w:spacing w:val="-56"/>
          <w:sz w:val="32"/>
          <w:szCs w:val="32"/>
          <w:highlight w:val="none"/>
          <w:lang w:val="en-US" w:eastAsia="zh-CN"/>
        </w:rPr>
      </w:pPr>
      <w:r>
        <w:rPr>
          <w:rFonts w:hint="eastAsia" w:ascii="仿宋_GB2312" w:eastAsia="仿宋_GB2312"/>
          <w:b/>
          <w:bCs/>
          <w:color w:val="auto"/>
          <w:spacing w:val="-56"/>
          <w:sz w:val="32"/>
          <w:szCs w:val="32"/>
          <w:highlight w:val="none"/>
          <w:lang w:val="en-US" w:eastAsia="zh-CN"/>
        </w:rPr>
        <w:t>第九条</w:t>
      </w:r>
      <w:r>
        <w:rPr>
          <w:rFonts w:hint="eastAsia" w:ascii="仿宋_GB2312" w:eastAsia="仿宋_GB2312"/>
          <w:color w:val="auto"/>
          <w:spacing w:val="-56"/>
          <w:sz w:val="32"/>
          <w:szCs w:val="32"/>
          <w:highlight w:val="none"/>
          <w:lang w:val="en-US" w:eastAsia="zh-CN"/>
        </w:rPr>
        <w:t xml:space="preserve"> 村委会及其他经济组织根据</w:t>
      </w:r>
      <w:r>
        <w:rPr>
          <w:rFonts w:hint="eastAsia" w:ascii="仿宋_GB2312" w:eastAsia="仿宋_GB2312"/>
          <w:color w:val="auto"/>
          <w:spacing w:val="-56"/>
          <w:sz w:val="32"/>
          <w:szCs w:val="32"/>
          <w:highlight w:val="none"/>
          <w:lang w:val="en-US" w:eastAsia="zh-CN"/>
        </w:rPr>
        <w:t>本村基本农田保护工作</w:t>
      </w:r>
      <w:r>
        <w:rPr>
          <w:rFonts w:hint="eastAsia" w:ascii="仿宋_GB2312" w:eastAsia="仿宋_GB2312"/>
          <w:color w:val="auto"/>
          <w:spacing w:val="-56"/>
          <w:sz w:val="32"/>
          <w:szCs w:val="32"/>
          <w:highlight w:val="none"/>
          <w:lang w:val="en-US" w:eastAsia="zh-CN"/>
        </w:rPr>
        <w:t>的实际需要，向镇政府（街道办）申报基本农田资金的使用计划，镇政府（街道办）</w:t>
      </w:r>
      <w:r>
        <w:rPr>
          <w:rFonts w:hint="eastAsia" w:ascii="仿宋_GB2312" w:eastAsia="仿宋_GB2312"/>
          <w:color w:val="auto"/>
          <w:spacing w:val="-56"/>
          <w:sz w:val="32"/>
          <w:szCs w:val="32"/>
          <w:highlight w:val="none"/>
          <w:lang w:val="en-US" w:eastAsia="zh-CN"/>
        </w:rPr>
        <w:t>审批后</w:t>
      </w:r>
      <w:r>
        <w:rPr>
          <w:rFonts w:hint="eastAsia" w:ascii="仿宋_GB2312" w:eastAsia="仿宋_GB2312"/>
          <w:color w:val="auto"/>
          <w:spacing w:val="-56"/>
          <w:sz w:val="32"/>
          <w:szCs w:val="32"/>
          <w:highlight w:val="none"/>
          <w:lang w:val="en-US" w:eastAsia="zh-CN"/>
        </w:rPr>
        <w:t>报送市自然资源局、市财政局备案。</w:t>
      </w:r>
    </w:p>
    <w:p>
      <w:pPr>
        <w:spacing w:line="600" w:lineRule="exact"/>
        <w:ind w:firstLine="626" w:firstLineChars="200"/>
        <w:rPr>
          <w:rFonts w:hint="eastAsia" w:ascii="仿宋_GB2312" w:eastAsia="仿宋_GB2312"/>
          <w:color w:val="auto"/>
          <w:spacing w:val="-56"/>
          <w:sz w:val="32"/>
          <w:szCs w:val="32"/>
          <w:highlight w:val="none"/>
          <w:lang w:val="en-US" w:eastAsia="zh-CN"/>
        </w:rPr>
      </w:pPr>
      <w:r>
        <w:rPr>
          <w:rFonts w:hint="eastAsia" w:ascii="仿宋_GB2312" w:eastAsia="仿宋_GB2312"/>
          <w:b/>
          <w:color w:val="auto"/>
          <w:spacing w:val="-56"/>
          <w:sz w:val="32"/>
          <w:szCs w:val="32"/>
          <w:highlight w:val="none"/>
        </w:rPr>
        <w:t>第</w:t>
      </w:r>
      <w:r>
        <w:rPr>
          <w:rFonts w:hint="eastAsia" w:ascii="仿宋_GB2312" w:eastAsia="仿宋_GB2312"/>
          <w:b/>
          <w:color w:val="auto"/>
          <w:spacing w:val="-56"/>
          <w:sz w:val="32"/>
          <w:szCs w:val="32"/>
          <w:highlight w:val="none"/>
          <w:lang w:val="en-US" w:eastAsia="zh-CN"/>
        </w:rPr>
        <w:t>十</w:t>
      </w:r>
      <w:r>
        <w:rPr>
          <w:rFonts w:hint="eastAsia" w:ascii="仿宋_GB2312" w:eastAsia="仿宋_GB2312"/>
          <w:b/>
          <w:color w:val="auto"/>
          <w:spacing w:val="-56"/>
          <w:sz w:val="32"/>
          <w:szCs w:val="32"/>
          <w:highlight w:val="none"/>
        </w:rPr>
        <w:t xml:space="preserve">条  </w:t>
      </w:r>
      <w:r>
        <w:rPr>
          <w:rFonts w:hint="eastAsia" w:ascii="仿宋_GB2312" w:eastAsia="仿宋_GB2312"/>
          <w:color w:val="auto"/>
          <w:spacing w:val="-56"/>
          <w:sz w:val="32"/>
          <w:szCs w:val="32"/>
          <w:highlight w:val="none"/>
        </w:rPr>
        <w:t>农业设施建设和维护项目</w:t>
      </w:r>
      <w:r>
        <w:rPr>
          <w:rFonts w:hint="eastAsia" w:ascii="仿宋_GB2312" w:eastAsia="仿宋_GB2312"/>
          <w:color w:val="auto"/>
          <w:spacing w:val="-56"/>
          <w:sz w:val="32"/>
          <w:szCs w:val="32"/>
          <w:highlight w:val="none"/>
          <w:lang w:eastAsia="zh-CN"/>
        </w:rPr>
        <w:t>由</w:t>
      </w:r>
      <w:r>
        <w:rPr>
          <w:rFonts w:hint="eastAsia" w:ascii="仿宋_GB2312" w:eastAsia="仿宋_GB2312"/>
          <w:color w:val="auto"/>
          <w:spacing w:val="-56"/>
          <w:sz w:val="32"/>
          <w:szCs w:val="32"/>
          <w:highlight w:val="none"/>
          <w:lang w:val="en-US" w:eastAsia="zh-CN"/>
        </w:rPr>
        <w:t>镇政府（街道办）组织实施，</w:t>
      </w:r>
      <w:r>
        <w:rPr>
          <w:rFonts w:hint="eastAsia" w:ascii="仿宋_GB2312" w:eastAsia="仿宋_GB2312"/>
          <w:color w:val="auto"/>
          <w:spacing w:val="-56"/>
          <w:sz w:val="32"/>
          <w:szCs w:val="32"/>
          <w:highlight w:val="none"/>
          <w:lang w:val="en-US" w:eastAsia="zh-CN"/>
        </w:rPr>
        <w:t>项目竣工后，将《竣工报告》</w:t>
      </w:r>
      <w:r>
        <w:rPr>
          <w:rFonts w:hint="eastAsia" w:ascii="仿宋_GB2312" w:eastAsia="仿宋_GB2312"/>
          <w:color w:val="auto"/>
          <w:spacing w:val="-56"/>
          <w:sz w:val="32"/>
          <w:szCs w:val="32"/>
          <w:highlight w:val="none"/>
          <w:lang w:val="en-US" w:eastAsia="zh-CN"/>
        </w:rPr>
        <w:t>报</w:t>
      </w:r>
      <w:r>
        <w:rPr>
          <w:rFonts w:hint="eastAsia" w:ascii="仿宋_GB2312" w:eastAsia="仿宋_GB2312"/>
          <w:color w:val="auto"/>
          <w:spacing w:val="-56"/>
          <w:sz w:val="32"/>
          <w:szCs w:val="32"/>
          <w:highlight w:val="none"/>
        </w:rPr>
        <w:t>市</w:t>
      </w:r>
      <w:r>
        <w:rPr>
          <w:rFonts w:hint="eastAsia" w:ascii="仿宋_GB2312" w:eastAsia="仿宋_GB2312"/>
          <w:color w:val="auto"/>
          <w:spacing w:val="-56"/>
          <w:sz w:val="32"/>
          <w:szCs w:val="32"/>
          <w:highlight w:val="none"/>
          <w:lang w:eastAsia="zh-CN"/>
        </w:rPr>
        <w:t>自然</w:t>
      </w:r>
      <w:r>
        <w:rPr>
          <w:rFonts w:hint="eastAsia" w:ascii="仿宋_GB2312" w:eastAsia="仿宋_GB2312"/>
          <w:color w:val="auto"/>
          <w:spacing w:val="-56"/>
          <w:sz w:val="32"/>
          <w:szCs w:val="32"/>
          <w:highlight w:val="none"/>
        </w:rPr>
        <w:t>资源局、财政局</w:t>
      </w:r>
      <w:r>
        <w:rPr>
          <w:rFonts w:hint="eastAsia" w:ascii="仿宋_GB2312" w:eastAsia="仿宋_GB2312"/>
          <w:color w:val="auto"/>
          <w:spacing w:val="-56"/>
          <w:sz w:val="32"/>
          <w:szCs w:val="32"/>
          <w:highlight w:val="none"/>
          <w:lang w:val="en-US" w:eastAsia="zh-CN"/>
        </w:rPr>
        <w:t>备案。</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b/>
          <w:color w:val="auto"/>
          <w:spacing w:val="-56"/>
          <w:sz w:val="32"/>
          <w:szCs w:val="32"/>
          <w:highlight w:val="none"/>
        </w:rPr>
        <w:t>第十</w:t>
      </w:r>
      <w:r>
        <w:rPr>
          <w:rFonts w:hint="eastAsia" w:ascii="仿宋_GB2312" w:eastAsia="仿宋_GB2312"/>
          <w:b/>
          <w:color w:val="auto"/>
          <w:spacing w:val="-56"/>
          <w:sz w:val="32"/>
          <w:szCs w:val="32"/>
          <w:highlight w:val="none"/>
          <w:lang w:eastAsia="zh-CN"/>
        </w:rPr>
        <w:t>一</w:t>
      </w:r>
      <w:r>
        <w:rPr>
          <w:rFonts w:hint="eastAsia" w:ascii="仿宋_GB2312" w:eastAsia="仿宋_GB2312"/>
          <w:b/>
          <w:color w:val="auto"/>
          <w:spacing w:val="-56"/>
          <w:sz w:val="32"/>
          <w:szCs w:val="32"/>
          <w:highlight w:val="none"/>
        </w:rPr>
        <w:t xml:space="preserve">条  </w:t>
      </w:r>
      <w:r>
        <w:rPr>
          <w:rFonts w:hint="eastAsia" w:ascii="仿宋_GB2312" w:eastAsia="仿宋_GB2312"/>
          <w:b w:val="0"/>
          <w:bCs/>
          <w:color w:val="auto"/>
          <w:spacing w:val="-56"/>
          <w:sz w:val="32"/>
          <w:szCs w:val="32"/>
          <w:highlight w:val="none"/>
          <w:lang w:eastAsia="zh-CN"/>
        </w:rPr>
        <w:t>镇（街道）</w:t>
      </w:r>
      <w:r>
        <w:rPr>
          <w:rFonts w:hint="eastAsia" w:ascii="仿宋_GB2312" w:eastAsia="仿宋_GB2312"/>
          <w:b w:val="0"/>
          <w:bCs/>
          <w:color w:val="auto"/>
          <w:spacing w:val="-56"/>
          <w:sz w:val="32"/>
          <w:szCs w:val="32"/>
          <w:highlight w:val="none"/>
          <w:lang w:eastAsia="zh-CN"/>
        </w:rPr>
        <w:t>应加快预算执行进度，对进度严重滞后，且经督促仍未整改到位的，由市财政收回统筹</w:t>
      </w:r>
      <w:r>
        <w:rPr>
          <w:rFonts w:hint="eastAsia" w:ascii="仿宋_GB2312" w:eastAsia="仿宋_GB2312"/>
          <w:b w:val="0"/>
          <w:bCs/>
          <w:color w:val="auto"/>
          <w:spacing w:val="-56"/>
          <w:sz w:val="32"/>
          <w:szCs w:val="32"/>
          <w:highlight w:val="none"/>
        </w:rPr>
        <w:t>。</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b/>
          <w:color w:val="auto"/>
          <w:spacing w:val="-56"/>
          <w:sz w:val="32"/>
          <w:szCs w:val="32"/>
          <w:highlight w:val="none"/>
        </w:rPr>
        <w:t>第十</w:t>
      </w:r>
      <w:r>
        <w:rPr>
          <w:rFonts w:hint="eastAsia" w:ascii="仿宋_GB2312" w:eastAsia="仿宋_GB2312"/>
          <w:b/>
          <w:color w:val="auto"/>
          <w:spacing w:val="-56"/>
          <w:sz w:val="32"/>
          <w:szCs w:val="32"/>
          <w:highlight w:val="none"/>
          <w:lang w:val="en-US" w:eastAsia="zh-CN"/>
        </w:rPr>
        <w:t>二</w:t>
      </w:r>
      <w:r>
        <w:rPr>
          <w:rFonts w:hint="eastAsia" w:ascii="仿宋_GB2312" w:eastAsia="仿宋_GB2312"/>
          <w:b/>
          <w:color w:val="auto"/>
          <w:spacing w:val="-56"/>
          <w:sz w:val="32"/>
          <w:szCs w:val="32"/>
          <w:highlight w:val="none"/>
        </w:rPr>
        <w:t xml:space="preserve">条  </w:t>
      </w:r>
      <w:r>
        <w:rPr>
          <w:rFonts w:hint="eastAsia" w:ascii="仿宋_GB2312" w:eastAsia="仿宋_GB2312"/>
          <w:color w:val="auto"/>
          <w:spacing w:val="-56"/>
          <w:sz w:val="32"/>
          <w:szCs w:val="32"/>
          <w:highlight w:val="none"/>
        </w:rPr>
        <w:t>补偿金的使用单位每</w:t>
      </w:r>
      <w:r>
        <w:rPr>
          <w:rFonts w:hint="eastAsia" w:ascii="仿宋_GB2312" w:eastAsia="仿宋_GB2312"/>
          <w:color w:val="auto"/>
          <w:spacing w:val="-56"/>
          <w:sz w:val="32"/>
          <w:szCs w:val="32"/>
          <w:highlight w:val="none"/>
          <w:lang w:val="en-US" w:eastAsia="zh-CN"/>
        </w:rPr>
        <w:t>年</w:t>
      </w:r>
      <w:r>
        <w:rPr>
          <w:rFonts w:hint="eastAsia" w:ascii="仿宋_GB2312" w:eastAsia="仿宋_GB2312"/>
          <w:color w:val="auto"/>
          <w:spacing w:val="-56"/>
          <w:sz w:val="32"/>
          <w:szCs w:val="32"/>
          <w:highlight w:val="none"/>
        </w:rPr>
        <w:t>要在</w:t>
      </w:r>
      <w:r>
        <w:rPr>
          <w:rFonts w:hint="eastAsia" w:ascii="仿宋_GB2312" w:eastAsia="仿宋_GB2312"/>
          <w:color w:val="auto"/>
          <w:spacing w:val="-56"/>
          <w:sz w:val="32"/>
          <w:szCs w:val="32"/>
          <w:highlight w:val="none"/>
          <w:lang w:eastAsia="zh-CN"/>
        </w:rPr>
        <w:t>村委、</w:t>
      </w:r>
      <w:r>
        <w:rPr>
          <w:rFonts w:hint="eastAsia" w:ascii="仿宋_GB2312" w:eastAsia="仿宋_GB2312"/>
          <w:color w:val="auto"/>
          <w:spacing w:val="-56"/>
          <w:sz w:val="32"/>
          <w:szCs w:val="32"/>
          <w:highlight w:val="none"/>
          <w:lang w:val="en-US" w:eastAsia="zh-CN"/>
        </w:rPr>
        <w:t>镇（街道）</w:t>
      </w:r>
      <w:r>
        <w:rPr>
          <w:rFonts w:hint="eastAsia" w:ascii="仿宋_GB2312" w:eastAsia="仿宋_GB2312"/>
          <w:color w:val="auto"/>
          <w:spacing w:val="-56"/>
          <w:sz w:val="32"/>
          <w:szCs w:val="32"/>
          <w:highlight w:val="none"/>
        </w:rPr>
        <w:t>财务公开栏公布补偿金的收入、开支情况，接受群众监督。</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b/>
          <w:color w:val="auto"/>
          <w:spacing w:val="-56"/>
          <w:sz w:val="32"/>
          <w:szCs w:val="32"/>
          <w:highlight w:val="none"/>
        </w:rPr>
        <w:t>第十</w:t>
      </w:r>
      <w:r>
        <w:rPr>
          <w:rFonts w:hint="eastAsia" w:ascii="仿宋_GB2312" w:eastAsia="仿宋_GB2312"/>
          <w:b/>
          <w:color w:val="auto"/>
          <w:spacing w:val="-56"/>
          <w:sz w:val="32"/>
          <w:szCs w:val="32"/>
          <w:highlight w:val="none"/>
          <w:lang w:eastAsia="zh-CN"/>
        </w:rPr>
        <w:t>三</w:t>
      </w:r>
      <w:r>
        <w:rPr>
          <w:rFonts w:hint="eastAsia" w:ascii="仿宋_GB2312" w:eastAsia="仿宋_GB2312"/>
          <w:b/>
          <w:color w:val="auto"/>
          <w:spacing w:val="-56"/>
          <w:sz w:val="32"/>
          <w:szCs w:val="32"/>
          <w:highlight w:val="none"/>
        </w:rPr>
        <w:t>条</w:t>
      </w:r>
      <w:r>
        <w:rPr>
          <w:rFonts w:hint="eastAsia" w:ascii="仿宋_GB2312" w:eastAsia="仿宋_GB2312"/>
          <w:color w:val="auto"/>
          <w:spacing w:val="-56"/>
          <w:sz w:val="32"/>
          <w:szCs w:val="32"/>
          <w:highlight w:val="none"/>
        </w:rPr>
        <w:t xml:space="preserve">  市财政每年将本级负担的基本农田经济补偿金纳入预算安排。</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b/>
          <w:color w:val="auto"/>
          <w:spacing w:val="-56"/>
          <w:sz w:val="32"/>
          <w:szCs w:val="32"/>
          <w:highlight w:val="none"/>
        </w:rPr>
        <w:t>第十</w:t>
      </w:r>
      <w:r>
        <w:rPr>
          <w:rFonts w:hint="eastAsia" w:ascii="仿宋_GB2312" w:eastAsia="仿宋_GB2312"/>
          <w:b/>
          <w:color w:val="auto"/>
          <w:spacing w:val="-56"/>
          <w:sz w:val="32"/>
          <w:szCs w:val="32"/>
          <w:highlight w:val="none"/>
          <w:lang w:val="en-US" w:eastAsia="zh-CN"/>
        </w:rPr>
        <w:t>四</w:t>
      </w:r>
      <w:r>
        <w:rPr>
          <w:rFonts w:hint="eastAsia" w:ascii="仿宋_GB2312" w:eastAsia="仿宋_GB2312"/>
          <w:b/>
          <w:color w:val="auto"/>
          <w:spacing w:val="-56"/>
          <w:sz w:val="32"/>
          <w:szCs w:val="32"/>
          <w:highlight w:val="none"/>
        </w:rPr>
        <w:t xml:space="preserve">条  </w:t>
      </w:r>
      <w:r>
        <w:rPr>
          <w:rFonts w:hint="eastAsia" w:ascii="仿宋_GB2312" w:eastAsia="仿宋_GB2312"/>
          <w:color w:val="auto"/>
          <w:spacing w:val="-56"/>
          <w:sz w:val="32"/>
          <w:szCs w:val="32"/>
          <w:highlight w:val="none"/>
        </w:rPr>
        <w:t>市</w:t>
      </w:r>
      <w:r>
        <w:rPr>
          <w:rFonts w:hint="eastAsia" w:ascii="仿宋_GB2312" w:eastAsia="仿宋_GB2312"/>
          <w:color w:val="auto"/>
          <w:spacing w:val="-56"/>
          <w:sz w:val="32"/>
          <w:szCs w:val="32"/>
          <w:highlight w:val="none"/>
          <w:lang w:eastAsia="zh-CN"/>
        </w:rPr>
        <w:t>财政</w:t>
      </w:r>
      <w:r>
        <w:rPr>
          <w:rFonts w:hint="eastAsia" w:ascii="仿宋_GB2312" w:eastAsia="仿宋_GB2312"/>
          <w:color w:val="auto"/>
          <w:spacing w:val="-56"/>
          <w:sz w:val="32"/>
          <w:szCs w:val="32"/>
          <w:highlight w:val="none"/>
          <w:lang w:val="en-US" w:eastAsia="zh-CN"/>
        </w:rPr>
        <w:t>每年</w:t>
      </w:r>
      <w:r>
        <w:rPr>
          <w:rFonts w:hint="eastAsia" w:ascii="仿宋_GB2312" w:eastAsia="仿宋_GB2312"/>
          <w:color w:val="auto"/>
          <w:spacing w:val="-56"/>
          <w:sz w:val="32"/>
          <w:szCs w:val="32"/>
          <w:highlight w:val="none"/>
        </w:rPr>
        <w:t>组织</w:t>
      </w:r>
      <w:r>
        <w:rPr>
          <w:rFonts w:hint="eastAsia" w:ascii="仿宋_GB2312" w:eastAsia="仿宋_GB2312"/>
          <w:color w:val="auto"/>
          <w:spacing w:val="-56"/>
          <w:sz w:val="32"/>
          <w:szCs w:val="32"/>
          <w:highlight w:val="none"/>
          <w:lang w:eastAsia="zh-CN"/>
        </w:rPr>
        <w:t>自然资源</w:t>
      </w:r>
      <w:r>
        <w:rPr>
          <w:rFonts w:hint="eastAsia" w:ascii="仿宋_GB2312" w:eastAsia="仿宋_GB2312"/>
          <w:color w:val="auto"/>
          <w:spacing w:val="-56"/>
          <w:sz w:val="32"/>
          <w:szCs w:val="32"/>
          <w:highlight w:val="none"/>
        </w:rPr>
        <w:t>、审计部门对补偿资金安排和使用情况进行检查，并将此项工作纳入各镇（街道）耕地保护责任目标考核范围。</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b/>
          <w:color w:val="auto"/>
          <w:spacing w:val="-56"/>
          <w:sz w:val="32"/>
          <w:szCs w:val="32"/>
          <w:highlight w:val="none"/>
        </w:rPr>
        <w:t>第十</w:t>
      </w:r>
      <w:r>
        <w:rPr>
          <w:rFonts w:hint="eastAsia" w:ascii="仿宋_GB2312" w:eastAsia="仿宋_GB2312"/>
          <w:b/>
          <w:color w:val="auto"/>
          <w:spacing w:val="-56"/>
          <w:sz w:val="32"/>
          <w:szCs w:val="32"/>
          <w:highlight w:val="none"/>
          <w:lang w:val="en-US" w:eastAsia="zh-CN"/>
        </w:rPr>
        <w:t>五</w:t>
      </w:r>
      <w:r>
        <w:rPr>
          <w:rFonts w:hint="eastAsia" w:ascii="仿宋_GB2312" w:eastAsia="仿宋_GB2312"/>
          <w:b/>
          <w:color w:val="auto"/>
          <w:spacing w:val="-56"/>
          <w:sz w:val="32"/>
          <w:szCs w:val="32"/>
          <w:highlight w:val="none"/>
        </w:rPr>
        <w:t xml:space="preserve">条  </w:t>
      </w:r>
      <w:r>
        <w:rPr>
          <w:rFonts w:hint="eastAsia" w:ascii="仿宋_GB2312" w:eastAsia="仿宋_GB2312"/>
          <w:color w:val="auto"/>
          <w:spacing w:val="-56"/>
          <w:sz w:val="32"/>
          <w:szCs w:val="32"/>
          <w:highlight w:val="none"/>
        </w:rPr>
        <w:t>实行保护责任与经济补偿挂钩。享受基本农田保护补偿资金的单位，凡有下列情形之一的，扣减或取消当年补偿资金，并按规定追究相关单位和人员的责任：</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color w:val="auto"/>
          <w:spacing w:val="-56"/>
          <w:sz w:val="32"/>
          <w:szCs w:val="32"/>
          <w:highlight w:val="none"/>
        </w:rPr>
        <w:t>1、未经批准、擅自在基本农田上进行非农业建设的；</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color w:val="auto"/>
          <w:spacing w:val="-56"/>
          <w:sz w:val="32"/>
          <w:szCs w:val="32"/>
          <w:highlight w:val="none"/>
        </w:rPr>
        <w:t>2、除自然灾害等不可抗力的原因外，基本农田抛荒、荒芜或闲置超过6个月的</w:t>
      </w:r>
      <w:r>
        <w:rPr>
          <w:rFonts w:hint="eastAsia" w:ascii="仿宋_GB2312" w:eastAsia="仿宋_GB2312"/>
          <w:color w:val="auto"/>
          <w:spacing w:val="-56"/>
          <w:sz w:val="32"/>
          <w:szCs w:val="32"/>
          <w:highlight w:val="none"/>
          <w:lang w:eastAsia="zh-CN"/>
        </w:rPr>
        <w:t>。</w:t>
      </w:r>
      <w:r>
        <w:rPr>
          <w:rFonts w:hint="eastAsia" w:ascii="仿宋_GB2312" w:eastAsia="仿宋_GB2312"/>
          <w:color w:val="auto"/>
          <w:spacing w:val="-56"/>
          <w:sz w:val="32"/>
          <w:szCs w:val="32"/>
          <w:highlight w:val="none"/>
        </w:rPr>
        <w:t>损坏的基本农田经复垦验收合格，可恢复补偿。</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color w:val="auto"/>
          <w:spacing w:val="-56"/>
          <w:sz w:val="32"/>
          <w:szCs w:val="32"/>
          <w:highlight w:val="none"/>
        </w:rPr>
        <w:t>3、任何单位或个人不得截留、挪用、贪污基本农田保护经济补偿资金，对截留、挪用、贪污等违法违规行为的单位或个人，将依法追究有关责任人的法律责任。</w:t>
      </w:r>
    </w:p>
    <w:p>
      <w:pPr>
        <w:spacing w:line="600" w:lineRule="exact"/>
        <w:ind w:firstLine="626" w:firstLineChars="200"/>
        <w:rPr>
          <w:rFonts w:hint="eastAsia" w:ascii="仿宋_GB2312" w:eastAsia="仿宋_GB2312"/>
          <w:color w:val="auto"/>
          <w:spacing w:val="-56"/>
          <w:sz w:val="32"/>
          <w:szCs w:val="32"/>
          <w:highlight w:val="none"/>
        </w:rPr>
      </w:pPr>
      <w:r>
        <w:rPr>
          <w:rFonts w:hint="eastAsia" w:ascii="仿宋_GB2312" w:eastAsia="仿宋_GB2312"/>
          <w:b/>
          <w:color w:val="auto"/>
          <w:spacing w:val="-56"/>
          <w:sz w:val="32"/>
          <w:szCs w:val="32"/>
          <w:highlight w:val="none"/>
        </w:rPr>
        <w:t>第十</w:t>
      </w:r>
      <w:r>
        <w:rPr>
          <w:rFonts w:hint="eastAsia" w:ascii="仿宋_GB2312" w:eastAsia="仿宋_GB2312"/>
          <w:b/>
          <w:color w:val="auto"/>
          <w:spacing w:val="-56"/>
          <w:sz w:val="32"/>
          <w:szCs w:val="32"/>
          <w:highlight w:val="none"/>
          <w:lang w:val="en-US" w:eastAsia="zh-CN"/>
        </w:rPr>
        <w:t>六</w:t>
      </w:r>
      <w:r>
        <w:rPr>
          <w:rFonts w:hint="eastAsia" w:ascii="仿宋_GB2312" w:eastAsia="仿宋_GB2312"/>
          <w:b/>
          <w:color w:val="auto"/>
          <w:spacing w:val="-56"/>
          <w:sz w:val="32"/>
          <w:szCs w:val="32"/>
          <w:highlight w:val="none"/>
        </w:rPr>
        <w:t xml:space="preserve">条  </w:t>
      </w:r>
      <w:r>
        <w:rPr>
          <w:rFonts w:hint="eastAsia" w:ascii="仿宋_GB2312" w:eastAsia="仿宋_GB2312"/>
          <w:color w:val="auto"/>
          <w:spacing w:val="-56"/>
          <w:sz w:val="32"/>
          <w:szCs w:val="32"/>
          <w:highlight w:val="none"/>
        </w:rPr>
        <w:t>本细则自发布之日起实施。市政府视补偿效果和财力情况适时调整补偿标准。</w:t>
      </w:r>
    </w:p>
    <w:p>
      <w:pPr>
        <w:spacing w:line="600" w:lineRule="exact"/>
        <w:ind w:firstLine="622" w:firstLineChars="200"/>
        <w:rPr>
          <w:rFonts w:ascii="仿宋" w:hAnsi="仿宋" w:eastAsia="仿宋"/>
          <w:color w:val="auto"/>
          <w:spacing w:val="-57"/>
          <w:sz w:val="32"/>
          <w:szCs w:val="32"/>
        </w:rPr>
      </w:pPr>
    </w:p>
    <w:p>
      <w:pPr>
        <w:spacing w:line="600" w:lineRule="exact"/>
        <w:rPr>
          <w:rFonts w:ascii="仿宋" w:hAnsi="仿宋" w:eastAsia="仿宋"/>
          <w:color w:val="auto"/>
          <w:spacing w:val="-57"/>
          <w:sz w:val="32"/>
          <w:szCs w:val="32"/>
        </w:rPr>
      </w:pPr>
    </w:p>
    <w:p>
      <w:pPr>
        <w:spacing w:line="600" w:lineRule="exact"/>
        <w:rPr>
          <w:rFonts w:ascii="仿宋" w:hAnsi="仿宋" w:eastAsia="仿宋"/>
          <w:color w:val="auto"/>
          <w:spacing w:val="-57"/>
          <w:sz w:val="32"/>
          <w:szCs w:val="32"/>
        </w:rPr>
      </w:pPr>
    </w:p>
    <w:p>
      <w:pPr>
        <w:spacing w:line="600" w:lineRule="exact"/>
        <w:rPr>
          <w:rFonts w:ascii="仿宋" w:hAnsi="仿宋" w:eastAsia="仿宋" w:cs="仿宋_GB2312"/>
          <w:color w:val="auto"/>
          <w:spacing w:val="-57"/>
          <w:sz w:val="32"/>
          <w:szCs w:val="32"/>
        </w:rPr>
      </w:pPr>
      <w:r>
        <w:rPr>
          <w:rFonts w:hint="eastAsia" w:ascii="仿宋" w:hAnsi="仿宋" w:eastAsia="仿宋"/>
          <w:color w:val="auto"/>
          <w:spacing w:val="-57"/>
          <w:sz w:val="32"/>
          <w:szCs w:val="32"/>
        </w:rPr>
        <w:t xml:space="preserve">                 </w:t>
      </w:r>
      <w:r>
        <w:rPr>
          <w:rFonts w:hint="eastAsia" w:ascii="仿宋" w:hAnsi="仿宋" w:eastAsia="仿宋" w:cs="仿宋_GB2312"/>
          <w:color w:val="auto"/>
          <w:spacing w:val="-57"/>
          <w:sz w:val="32"/>
          <w:szCs w:val="32"/>
        </w:rPr>
        <w:t xml:space="preserve">                                </w:t>
      </w:r>
    </w:p>
    <w:bookmarkEnd w:id="0"/>
    <w:sectPr>
      <w:headerReference r:id="rId3" w:type="default"/>
      <w:footerReference r:id="rId4" w:type="default"/>
      <w:pgSz w:w="11906" w:h="16838"/>
      <w:pgMar w:top="2098" w:right="1474" w:bottom="1984" w:left="1587" w:header="851" w:footer="1417" w:gutter="0"/>
      <w:pgNumType w:fmt="numberInDash"/>
      <w:cols w:space="0" w:num="1"/>
      <w:docGrid w:type="linesAndChars" w:linePitch="579" w:charSpace="216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4656452"/>
    </w:sdtPr>
    <w:sdtContent>
      <w:p>
        <w:pPr>
          <w:pStyle w:val="3"/>
          <w:framePr w:wrap="around" w:vAnchor="text" w:hAnchor="margin" w:xAlign="outside" w:y="1"/>
          <w:jc w:val="cente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PAGE   \* MERGEFORMAT</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lang w:val="zh-CN"/>
          </w:rPr>
          <w:t>1</w:t>
        </w:r>
        <w:r>
          <w:rPr>
            <w:rFonts w:hint="eastAsia" w:asciiTheme="majorEastAsia" w:hAnsiTheme="majorEastAsia" w:eastAsiaTheme="majorEastAsia" w:cstheme="majorEastAsia"/>
            <w:sz w:val="28"/>
            <w:szCs w:val="28"/>
          </w:rPr>
          <w:fldChar w:fldCharType="end"/>
        </w:r>
      </w:p>
    </w:sdtContent>
  </w:sdt>
  <w:p>
    <w:pPr>
      <w:pStyle w:val="3"/>
      <w:jc w:val="center"/>
    </w:pP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1"/>
  <w:bordersDoNotSurroundFooter w:val="1"/>
  <w:documentProtection w:edit="trackedChanges" w:enforcement="0"/>
  <w:defaultTabStop w:val="420"/>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12E7E"/>
    <w:rsid w:val="00065B95"/>
    <w:rsid w:val="0009097C"/>
    <w:rsid w:val="000A1767"/>
    <w:rsid w:val="000A5B51"/>
    <w:rsid w:val="000A7C13"/>
    <w:rsid w:val="000B0864"/>
    <w:rsid w:val="000E60C6"/>
    <w:rsid w:val="000F4919"/>
    <w:rsid w:val="0010261A"/>
    <w:rsid w:val="00106A4F"/>
    <w:rsid w:val="001316E6"/>
    <w:rsid w:val="00182EF7"/>
    <w:rsid w:val="0019027B"/>
    <w:rsid w:val="001D56C0"/>
    <w:rsid w:val="00214813"/>
    <w:rsid w:val="00231641"/>
    <w:rsid w:val="00235FE3"/>
    <w:rsid w:val="00280F07"/>
    <w:rsid w:val="002A3F60"/>
    <w:rsid w:val="002B3097"/>
    <w:rsid w:val="002E1C3C"/>
    <w:rsid w:val="0032641C"/>
    <w:rsid w:val="00343292"/>
    <w:rsid w:val="003632E0"/>
    <w:rsid w:val="003A5C63"/>
    <w:rsid w:val="003A7F2F"/>
    <w:rsid w:val="003E55F2"/>
    <w:rsid w:val="0040314F"/>
    <w:rsid w:val="00414535"/>
    <w:rsid w:val="00437B84"/>
    <w:rsid w:val="00440FB3"/>
    <w:rsid w:val="00460BBB"/>
    <w:rsid w:val="004667BC"/>
    <w:rsid w:val="004A6B7A"/>
    <w:rsid w:val="004A7EE5"/>
    <w:rsid w:val="004B3863"/>
    <w:rsid w:val="004F763B"/>
    <w:rsid w:val="005023D3"/>
    <w:rsid w:val="00550EFC"/>
    <w:rsid w:val="00587986"/>
    <w:rsid w:val="005D6608"/>
    <w:rsid w:val="005E2C82"/>
    <w:rsid w:val="00606220"/>
    <w:rsid w:val="00610268"/>
    <w:rsid w:val="00611882"/>
    <w:rsid w:val="006124BD"/>
    <w:rsid w:val="006533DC"/>
    <w:rsid w:val="00654765"/>
    <w:rsid w:val="00665511"/>
    <w:rsid w:val="00665D4C"/>
    <w:rsid w:val="00667407"/>
    <w:rsid w:val="00694210"/>
    <w:rsid w:val="006B2690"/>
    <w:rsid w:val="006C04F7"/>
    <w:rsid w:val="006C1BCF"/>
    <w:rsid w:val="006F7B1B"/>
    <w:rsid w:val="00704C10"/>
    <w:rsid w:val="0070577F"/>
    <w:rsid w:val="00711698"/>
    <w:rsid w:val="00712E7E"/>
    <w:rsid w:val="00714B21"/>
    <w:rsid w:val="00723B99"/>
    <w:rsid w:val="007253B4"/>
    <w:rsid w:val="007441FE"/>
    <w:rsid w:val="00747394"/>
    <w:rsid w:val="00776A77"/>
    <w:rsid w:val="00781D99"/>
    <w:rsid w:val="007A478E"/>
    <w:rsid w:val="007D02F0"/>
    <w:rsid w:val="007F2B19"/>
    <w:rsid w:val="008030D0"/>
    <w:rsid w:val="0083158C"/>
    <w:rsid w:val="00833E5C"/>
    <w:rsid w:val="00844861"/>
    <w:rsid w:val="00845D8F"/>
    <w:rsid w:val="00850FDC"/>
    <w:rsid w:val="00852A82"/>
    <w:rsid w:val="00876514"/>
    <w:rsid w:val="008F6557"/>
    <w:rsid w:val="0092402C"/>
    <w:rsid w:val="009242DC"/>
    <w:rsid w:val="009B16F0"/>
    <w:rsid w:val="00A33DBA"/>
    <w:rsid w:val="00A350FD"/>
    <w:rsid w:val="00A55CD2"/>
    <w:rsid w:val="00A65757"/>
    <w:rsid w:val="00A85368"/>
    <w:rsid w:val="00A96BDE"/>
    <w:rsid w:val="00AB2504"/>
    <w:rsid w:val="00AD78BF"/>
    <w:rsid w:val="00AF2144"/>
    <w:rsid w:val="00B24333"/>
    <w:rsid w:val="00B87A9A"/>
    <w:rsid w:val="00BB231D"/>
    <w:rsid w:val="00BC2B24"/>
    <w:rsid w:val="00BE05EC"/>
    <w:rsid w:val="00BF0C23"/>
    <w:rsid w:val="00C14B89"/>
    <w:rsid w:val="00C560B5"/>
    <w:rsid w:val="00C718CA"/>
    <w:rsid w:val="00C7319F"/>
    <w:rsid w:val="00CB3035"/>
    <w:rsid w:val="00D05C3D"/>
    <w:rsid w:val="00D07E55"/>
    <w:rsid w:val="00D10C5C"/>
    <w:rsid w:val="00D31D04"/>
    <w:rsid w:val="00DB2201"/>
    <w:rsid w:val="00DF3D75"/>
    <w:rsid w:val="00DF7BF3"/>
    <w:rsid w:val="00E11F20"/>
    <w:rsid w:val="00E4780C"/>
    <w:rsid w:val="00E56B8B"/>
    <w:rsid w:val="00E57333"/>
    <w:rsid w:val="00EA2328"/>
    <w:rsid w:val="00EB3551"/>
    <w:rsid w:val="00EF0625"/>
    <w:rsid w:val="00F23FA8"/>
    <w:rsid w:val="00F34B45"/>
    <w:rsid w:val="00F67E2E"/>
    <w:rsid w:val="00F739CC"/>
    <w:rsid w:val="00F75866"/>
    <w:rsid w:val="00FC7B28"/>
    <w:rsid w:val="00FD2F57"/>
    <w:rsid w:val="00FD5F29"/>
    <w:rsid w:val="00FF4EBE"/>
    <w:rsid w:val="20CC4E38"/>
    <w:rsid w:val="29107B63"/>
    <w:rsid w:val="36BA6147"/>
    <w:rsid w:val="46DA7816"/>
    <w:rsid w:val="794843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批注框文本 字符"/>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30</Words>
  <Characters>176</Characters>
  <Lines>1</Lines>
  <Paragraphs>1</Paragraphs>
  <TotalTime>0</TotalTime>
  <ScaleCrop>false</ScaleCrop>
  <LinksUpToDate>false</LinksUpToDate>
  <CharactersWithSpaces>205</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2020-09-14T02:22:00Z</dcterms:created>
  <dc:creator>微软用户</dc:creator>
  <cp:lastModifiedBy>罗健瑜</cp:lastModifiedBy>
  <cp:lastPrinted>2020-09-14T09:23:00Z</cp:lastPrinted>
  <dcterms:modified xsi:type="dcterms:W3CDTF">2021-08-16T01:41:23Z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C42C787595874F47856A7CE8D4B93827</vt:lpwstr>
  </property>
</Properties>
</file>